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2486F" w14:textId="77777777" w:rsidR="00AB6C3E" w:rsidRDefault="00AB6C3E" w:rsidP="00AB6C3E">
      <w:pPr>
        <w:pStyle w:val="Regione"/>
        <w:tabs>
          <w:tab w:val="left" w:pos="284"/>
        </w:tabs>
        <w:snapToGrid w:val="0"/>
        <w:ind w:right="-149" w:firstLine="0"/>
        <w:rPr>
          <w:rFonts w:ascii="Times New Roman" w:hAnsi="Times New Roman" w:cs="Times New Roman"/>
          <w:b/>
          <w:bCs/>
          <w:i w:val="0"/>
          <w:iCs/>
          <w:sz w:val="22"/>
          <w:szCs w:val="22"/>
        </w:rPr>
      </w:pPr>
      <w:r>
        <w:rPr>
          <w:rFonts w:ascii="Times New Roman" w:hAnsi="Times New Roman" w:cs="Times New Roman"/>
          <w:b/>
          <w:bCs/>
          <w:i w:val="0"/>
          <w:iCs/>
          <w:sz w:val="22"/>
          <w:szCs w:val="22"/>
        </w:rPr>
        <w:t>REPUBBLICA ITALIANA</w:t>
      </w:r>
    </w:p>
    <w:p w14:paraId="44E1B53F" w14:textId="77777777" w:rsidR="00AB6C3E" w:rsidRDefault="00AB6C3E" w:rsidP="00AB6C3E">
      <w:pPr>
        <w:pStyle w:val="Regione"/>
        <w:tabs>
          <w:tab w:val="left" w:pos="284"/>
        </w:tabs>
        <w:ind w:left="-157" w:right="-149" w:firstLine="0"/>
      </w:pPr>
      <w:r>
        <w:rPr>
          <w:rFonts w:ascii="Times New Roman" w:hAnsi="Times New Roman" w:cs="Times New Roman"/>
          <w:b/>
          <w:bCs/>
          <w:i w:val="0"/>
          <w:iCs/>
          <w:sz w:val="22"/>
          <w:szCs w:val="22"/>
        </w:rPr>
        <w:t>REGIONE SICILIANA</w:t>
      </w:r>
    </w:p>
    <w:p w14:paraId="21F31385" w14:textId="77777777" w:rsidR="00AB6C3E" w:rsidRDefault="00AB6C3E" w:rsidP="00AB6C3E">
      <w:pPr>
        <w:pStyle w:val="Regione"/>
        <w:tabs>
          <w:tab w:val="left" w:pos="284"/>
        </w:tabs>
        <w:ind w:left="-157" w:right="-149" w:firstLine="0"/>
      </w:pPr>
      <w:r>
        <w:rPr>
          <w:noProof/>
          <w:lang w:eastAsia="it-IT"/>
        </w:rPr>
        <w:drawing>
          <wp:anchor distT="0" distB="0" distL="114935" distR="114935" simplePos="0" relativeHeight="251659264" behindDoc="1" locked="0" layoutInCell="1" allowOverlap="1" wp14:anchorId="48DCC9AB" wp14:editId="59316F60">
            <wp:simplePos x="0" y="0"/>
            <wp:positionH relativeFrom="column">
              <wp:posOffset>2823210</wp:posOffset>
            </wp:positionH>
            <wp:positionV relativeFrom="paragraph">
              <wp:posOffset>207645</wp:posOffset>
            </wp:positionV>
            <wp:extent cx="400050" cy="46672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540A2CC" w14:textId="77777777" w:rsidR="00AB6C3E" w:rsidRDefault="00AB6C3E" w:rsidP="00AB6C3E">
      <w:pPr>
        <w:pStyle w:val="Regione"/>
        <w:ind w:left="-157" w:right="-149" w:firstLine="0"/>
        <w:jc w:val="left"/>
      </w:pPr>
    </w:p>
    <w:p w14:paraId="1BB2188B" w14:textId="77777777" w:rsidR="00AB6C3E" w:rsidRDefault="00AB6C3E" w:rsidP="00AB6C3E">
      <w:pPr>
        <w:jc w:val="center"/>
        <w:rPr>
          <w:b/>
          <w:bCs/>
          <w:i/>
          <w:iCs/>
        </w:rPr>
      </w:pPr>
    </w:p>
    <w:p w14:paraId="1A645B53" w14:textId="77777777" w:rsidR="00AB6C3E" w:rsidRPr="00AB6C3E" w:rsidRDefault="00AB6C3E" w:rsidP="00AB6C3E">
      <w:pPr>
        <w:jc w:val="both"/>
        <w:rPr>
          <w:rFonts w:ascii="Times New Roman" w:hAnsi="Times New Roman" w:cs="Times New Roman"/>
          <w:b/>
          <w:color w:val="000000"/>
        </w:rPr>
      </w:pPr>
      <w:proofErr w:type="gramStart"/>
      <w:r w:rsidRPr="00AB6C3E">
        <w:rPr>
          <w:rFonts w:ascii="Times New Roman" w:hAnsi="Times New Roman" w:cs="Times New Roman"/>
          <w:b/>
        </w:rPr>
        <w:t>Procedura  aperta</w:t>
      </w:r>
      <w:proofErr w:type="gramEnd"/>
      <w:r w:rsidRPr="00AB6C3E">
        <w:rPr>
          <w:rFonts w:ascii="Times New Roman" w:hAnsi="Times New Roman" w:cs="Times New Roman"/>
          <w:b/>
        </w:rPr>
        <w:t xml:space="preserve"> per  l’</w:t>
      </w:r>
      <w:r w:rsidRPr="00AB6C3E">
        <w:rPr>
          <w:rFonts w:ascii="Times New Roman" w:hAnsi="Times New Roman" w:cs="Times New Roman"/>
          <w:b/>
          <w:color w:val="000000"/>
        </w:rPr>
        <w:t xml:space="preserve">affidamento  in  concessione, senza esclusiva,  dei servizi pubblici di trasporto marittimo </w:t>
      </w:r>
      <w:r w:rsidRPr="00AB6C3E">
        <w:rPr>
          <w:rFonts w:ascii="Times New Roman" w:hAnsi="Times New Roman" w:cs="Times New Roman"/>
          <w:b/>
        </w:rPr>
        <w:t xml:space="preserve"> </w:t>
      </w:r>
      <w:r w:rsidRPr="00AB6C3E">
        <w:rPr>
          <w:rFonts w:ascii="Times New Roman" w:hAnsi="Times New Roman" w:cs="Times New Roman"/>
          <w:b/>
          <w:color w:val="000000"/>
        </w:rPr>
        <w:t xml:space="preserve">  di passeggeri, veicoli e merci (anche pericolose), in regime di servizio pubblico con compensazione finanziaria,    attraverso  navi ro-ro, per la continuità territoriale marittima delle Isole Minori della Sicilia</w:t>
      </w:r>
    </w:p>
    <w:p w14:paraId="171035EE" w14:textId="77777777" w:rsidR="00AB6C3E" w:rsidRDefault="00AB6C3E" w:rsidP="00AB6C3E">
      <w:pPr>
        <w:jc w:val="both"/>
        <w:rPr>
          <w:b/>
          <w:color w:val="000000"/>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2023"/>
        <w:gridCol w:w="2636"/>
      </w:tblGrid>
      <w:tr w:rsidR="00B20F79" w:rsidRPr="00B20F79" w14:paraId="4D4E1C7C" w14:textId="77777777" w:rsidTr="00B20F79">
        <w:trPr>
          <w:jc w:val="center"/>
        </w:trPr>
        <w:tc>
          <w:tcPr>
            <w:tcW w:w="0" w:type="auto"/>
          </w:tcPr>
          <w:p w14:paraId="08E68780"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Lotto I°</w:t>
            </w:r>
          </w:p>
        </w:tc>
        <w:tc>
          <w:tcPr>
            <w:tcW w:w="0" w:type="auto"/>
          </w:tcPr>
          <w:p w14:paraId="0EE8FF43"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CIG 8844173A6F</w:t>
            </w:r>
          </w:p>
        </w:tc>
        <w:tc>
          <w:tcPr>
            <w:tcW w:w="0" w:type="auto"/>
          </w:tcPr>
          <w:p w14:paraId="1B9564F0"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CUP G69J21006330002</w:t>
            </w:r>
          </w:p>
        </w:tc>
      </w:tr>
      <w:tr w:rsidR="00B20F79" w:rsidRPr="00B20F79" w14:paraId="06C6725A" w14:textId="77777777" w:rsidTr="00B20F79">
        <w:trPr>
          <w:jc w:val="center"/>
        </w:trPr>
        <w:tc>
          <w:tcPr>
            <w:tcW w:w="0" w:type="auto"/>
          </w:tcPr>
          <w:p w14:paraId="48A79DF5"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Lotto II°</w:t>
            </w:r>
          </w:p>
        </w:tc>
        <w:tc>
          <w:tcPr>
            <w:tcW w:w="0" w:type="auto"/>
          </w:tcPr>
          <w:p w14:paraId="6163A2D5"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CIG 88441821DF</w:t>
            </w:r>
          </w:p>
        </w:tc>
        <w:tc>
          <w:tcPr>
            <w:tcW w:w="0" w:type="auto"/>
          </w:tcPr>
          <w:p w14:paraId="466AB59F"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CUP G69J21006340002</w:t>
            </w:r>
          </w:p>
        </w:tc>
      </w:tr>
      <w:tr w:rsidR="00B20F79" w:rsidRPr="00B20F79" w14:paraId="5A7EA0DF" w14:textId="77777777" w:rsidTr="00B20F79">
        <w:trPr>
          <w:jc w:val="center"/>
        </w:trPr>
        <w:tc>
          <w:tcPr>
            <w:tcW w:w="0" w:type="auto"/>
          </w:tcPr>
          <w:p w14:paraId="061D9528"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Lotto III°</w:t>
            </w:r>
          </w:p>
        </w:tc>
        <w:tc>
          <w:tcPr>
            <w:tcW w:w="0" w:type="auto"/>
          </w:tcPr>
          <w:p w14:paraId="37EFC452"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CIG 884418652B</w:t>
            </w:r>
          </w:p>
        </w:tc>
        <w:tc>
          <w:tcPr>
            <w:tcW w:w="0" w:type="auto"/>
          </w:tcPr>
          <w:p w14:paraId="044B5EC0"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CUP G69J21006350002</w:t>
            </w:r>
          </w:p>
        </w:tc>
      </w:tr>
      <w:tr w:rsidR="00B20F79" w:rsidRPr="00B20F79" w14:paraId="79D7252A" w14:textId="77777777" w:rsidTr="00B20F79">
        <w:trPr>
          <w:jc w:val="center"/>
        </w:trPr>
        <w:tc>
          <w:tcPr>
            <w:tcW w:w="0" w:type="auto"/>
          </w:tcPr>
          <w:p w14:paraId="46EE82E6"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Lotto IV°</w:t>
            </w:r>
          </w:p>
        </w:tc>
        <w:tc>
          <w:tcPr>
            <w:tcW w:w="0" w:type="auto"/>
          </w:tcPr>
          <w:p w14:paraId="47207D02"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CIG 8844194BC3</w:t>
            </w:r>
          </w:p>
        </w:tc>
        <w:tc>
          <w:tcPr>
            <w:tcW w:w="0" w:type="auto"/>
          </w:tcPr>
          <w:p w14:paraId="44688C32"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CUP G69J21006370002</w:t>
            </w:r>
          </w:p>
        </w:tc>
      </w:tr>
      <w:tr w:rsidR="00B20F79" w:rsidRPr="00B20F79" w14:paraId="272B9774" w14:textId="77777777" w:rsidTr="00B20F79">
        <w:trPr>
          <w:jc w:val="center"/>
        </w:trPr>
        <w:tc>
          <w:tcPr>
            <w:tcW w:w="0" w:type="auto"/>
          </w:tcPr>
          <w:p w14:paraId="4DB9B5A4"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Lotto V°</w:t>
            </w:r>
          </w:p>
        </w:tc>
        <w:tc>
          <w:tcPr>
            <w:tcW w:w="0" w:type="auto"/>
          </w:tcPr>
          <w:p w14:paraId="687A384E"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CIG 8844203333</w:t>
            </w:r>
          </w:p>
        </w:tc>
        <w:tc>
          <w:tcPr>
            <w:tcW w:w="0" w:type="auto"/>
          </w:tcPr>
          <w:p w14:paraId="33CEFF79" w14:textId="77777777" w:rsidR="00B20F79" w:rsidRPr="00B20F79" w:rsidRDefault="00B20F79" w:rsidP="00F21EEE">
            <w:pPr>
              <w:rPr>
                <w:rFonts w:ascii="Times New Roman" w:hAnsi="Times New Roman" w:cs="Times New Roman"/>
                <w:b/>
                <w:sz w:val="24"/>
                <w:szCs w:val="24"/>
              </w:rPr>
            </w:pPr>
            <w:r w:rsidRPr="00B20F79">
              <w:rPr>
                <w:rFonts w:ascii="Times New Roman" w:hAnsi="Times New Roman" w:cs="Times New Roman"/>
                <w:b/>
                <w:sz w:val="24"/>
                <w:szCs w:val="24"/>
              </w:rPr>
              <w:t>CUP G69J21006380002</w:t>
            </w:r>
          </w:p>
        </w:tc>
      </w:tr>
    </w:tbl>
    <w:p w14:paraId="46265D79" w14:textId="588A8FF0" w:rsidR="00AB6C3E" w:rsidRDefault="00AB6C3E" w:rsidP="00AB6C3E">
      <w:pPr>
        <w:tabs>
          <w:tab w:val="left" w:pos="4913"/>
        </w:tabs>
        <w:spacing w:line="480" w:lineRule="auto"/>
        <w:ind w:left="2783" w:right="3000"/>
        <w:jc w:val="center"/>
        <w:rPr>
          <w:b/>
          <w:highlight w:val="yellow"/>
        </w:rPr>
      </w:pPr>
      <w:bookmarkStart w:id="0" w:name="_GoBack"/>
      <w:bookmarkEnd w:id="0"/>
    </w:p>
    <w:p w14:paraId="68F6E3E1" w14:textId="77777777" w:rsidR="00AB6C3E" w:rsidRDefault="00AB6C3E" w:rsidP="00AB6C3E">
      <w:pPr>
        <w:tabs>
          <w:tab w:val="left" w:pos="142"/>
        </w:tabs>
        <w:spacing w:line="480" w:lineRule="auto"/>
        <w:ind w:left="142" w:right="-1"/>
        <w:jc w:val="center"/>
        <w:rPr>
          <w:rFonts w:ascii="Times New Roman" w:hAnsi="Times New Roman" w:cs="Times New Roman"/>
          <w:b/>
        </w:rPr>
      </w:pPr>
      <w:r w:rsidRPr="00AB6C3E">
        <w:rPr>
          <w:rFonts w:ascii="Times New Roman" w:hAnsi="Times New Roman" w:cs="Times New Roman"/>
          <w:b/>
        </w:rPr>
        <w:t xml:space="preserve">VERIFICA EQUILIBRIO ECONOMICO FINANZIARIO </w:t>
      </w:r>
    </w:p>
    <w:p w14:paraId="56C0D0C3" w14:textId="74A91D67" w:rsidR="00AB6C3E" w:rsidRPr="00AB6C3E" w:rsidRDefault="00AB6C3E" w:rsidP="00AB6C3E">
      <w:pPr>
        <w:tabs>
          <w:tab w:val="left" w:pos="142"/>
        </w:tabs>
        <w:spacing w:line="480" w:lineRule="auto"/>
        <w:ind w:left="142" w:right="-1"/>
        <w:jc w:val="center"/>
        <w:rPr>
          <w:rFonts w:ascii="Times New Roman" w:hAnsi="Times New Roman" w:cs="Times New Roman"/>
          <w:b/>
        </w:rPr>
      </w:pPr>
      <w:r w:rsidRPr="00AB6C3E">
        <w:rPr>
          <w:rFonts w:ascii="Times New Roman" w:hAnsi="Times New Roman" w:cs="Times New Roman"/>
          <w:b/>
        </w:rPr>
        <w:t>DELL’AFFIDAMENTO</w:t>
      </w:r>
      <w:r>
        <w:rPr>
          <w:rFonts w:ascii="Times New Roman" w:hAnsi="Times New Roman" w:cs="Times New Roman"/>
          <w:b/>
        </w:rPr>
        <w:t xml:space="preserve"> </w:t>
      </w:r>
      <w:r w:rsidRPr="00AB6C3E">
        <w:rPr>
          <w:rFonts w:ascii="Times New Roman" w:hAnsi="Times New Roman" w:cs="Times New Roman"/>
          <w:b/>
        </w:rPr>
        <w:t>IN CONCESSIONE</w:t>
      </w:r>
    </w:p>
    <w:p w14:paraId="256A3A10" w14:textId="77777777" w:rsidR="00AB6C3E" w:rsidRDefault="00AB6C3E" w:rsidP="00F7071D">
      <w:pPr>
        <w:jc w:val="center"/>
        <w:rPr>
          <w:rFonts w:ascii="Times New Roman" w:hAnsi="Times New Roman" w:cs="Times New Roman"/>
          <w:b/>
          <w:bCs/>
          <w:sz w:val="28"/>
          <w:szCs w:val="28"/>
        </w:rPr>
      </w:pPr>
    </w:p>
    <w:p w14:paraId="68927EC3" w14:textId="0EC0D5FD" w:rsidR="00F7071D" w:rsidRPr="00AB6C3E" w:rsidRDefault="00F7071D" w:rsidP="00293DF4">
      <w:pPr>
        <w:spacing w:line="288" w:lineRule="auto"/>
        <w:jc w:val="both"/>
        <w:rPr>
          <w:rFonts w:ascii="Times New Roman" w:hAnsi="Times New Roman" w:cs="Times New Roman"/>
        </w:rPr>
      </w:pPr>
      <w:r w:rsidRPr="00AB6C3E">
        <w:rPr>
          <w:rFonts w:ascii="Times New Roman" w:hAnsi="Times New Roman" w:cs="Times New Roman"/>
        </w:rPr>
        <w:t xml:space="preserve">Il presente allegato definisce, in conformità alle </w:t>
      </w:r>
      <w:r w:rsidR="00137559" w:rsidRPr="00AB6C3E">
        <w:rPr>
          <w:rFonts w:ascii="Times New Roman" w:hAnsi="Times New Roman" w:cs="Times New Roman"/>
        </w:rPr>
        <w:t xml:space="preserve">disposizioni del contratto </w:t>
      </w:r>
      <w:r w:rsidRPr="00AB6C3E">
        <w:rPr>
          <w:rFonts w:ascii="Times New Roman" w:hAnsi="Times New Roman" w:cs="Times New Roman"/>
        </w:rPr>
        <w:t xml:space="preserve">di affidamento, alla regolazione di settore e alla normativa nazionale e comunitaria le modalità di aggiornamento del Piano </w:t>
      </w:r>
      <w:r w:rsidR="00F519CC" w:rsidRPr="00AB6C3E">
        <w:rPr>
          <w:rFonts w:ascii="Times New Roman" w:hAnsi="Times New Roman" w:cs="Times New Roman"/>
        </w:rPr>
        <w:t>E</w:t>
      </w:r>
      <w:r w:rsidRPr="00AB6C3E">
        <w:rPr>
          <w:rFonts w:ascii="Times New Roman" w:hAnsi="Times New Roman" w:cs="Times New Roman"/>
        </w:rPr>
        <w:t xml:space="preserve">conomico e </w:t>
      </w:r>
      <w:r w:rsidR="00F519CC" w:rsidRPr="00AB6C3E">
        <w:rPr>
          <w:rFonts w:ascii="Times New Roman" w:hAnsi="Times New Roman" w:cs="Times New Roman"/>
        </w:rPr>
        <w:t>F</w:t>
      </w:r>
      <w:r w:rsidRPr="00AB6C3E">
        <w:rPr>
          <w:rFonts w:ascii="Times New Roman" w:hAnsi="Times New Roman" w:cs="Times New Roman"/>
        </w:rPr>
        <w:t xml:space="preserve">inanziario </w:t>
      </w:r>
      <w:r w:rsidR="00F519CC" w:rsidRPr="00AB6C3E">
        <w:rPr>
          <w:rFonts w:ascii="Times New Roman" w:hAnsi="Times New Roman" w:cs="Times New Roman"/>
        </w:rPr>
        <w:t xml:space="preserve">(in seguito, Piano) </w:t>
      </w:r>
      <w:r w:rsidR="00293DF4" w:rsidRPr="00AB6C3E">
        <w:rPr>
          <w:rFonts w:ascii="Times New Roman" w:hAnsi="Times New Roman" w:cs="Times New Roman"/>
        </w:rPr>
        <w:t>e di verifica dell’eventuale sovra o sotto compensazione dell’operatore esercente i servizi onerati da obblighi di servizio pubblico, nonché le modalità tecniche di rideterminazione di equilibrio del Piano ove si riscontrasse un disequilibrio economico e finanziario dell’affidamento.</w:t>
      </w:r>
    </w:p>
    <w:p w14:paraId="67170C48" w14:textId="4034969F" w:rsidR="00293DF4" w:rsidRPr="00AB6C3E" w:rsidRDefault="00293DF4" w:rsidP="00293DF4">
      <w:pPr>
        <w:spacing w:line="288" w:lineRule="auto"/>
        <w:jc w:val="both"/>
        <w:rPr>
          <w:rFonts w:ascii="Times New Roman" w:hAnsi="Times New Roman" w:cs="Times New Roman"/>
        </w:rPr>
      </w:pPr>
      <w:r w:rsidRPr="00AB6C3E">
        <w:rPr>
          <w:rFonts w:ascii="Times New Roman" w:hAnsi="Times New Roman" w:cs="Times New Roman"/>
        </w:rPr>
        <w:t xml:space="preserve">Il presente allegato prende a riferimento la regolazione e la normativa vigente alla data di indizione della procedura di gara ed in particolare le disposizioni di cui alla Deliberazione dell’Autorità di Regolazione dei Trasporti (d’ora in poi anche solo ART) n. 22/2019. </w:t>
      </w:r>
    </w:p>
    <w:p w14:paraId="67F321DC" w14:textId="35672935" w:rsidR="00293DF4" w:rsidRPr="00AB6C3E" w:rsidRDefault="00293DF4" w:rsidP="00293DF4">
      <w:pPr>
        <w:spacing w:line="288" w:lineRule="auto"/>
        <w:jc w:val="both"/>
        <w:rPr>
          <w:rFonts w:ascii="Times New Roman" w:hAnsi="Times New Roman" w:cs="Times New Roman"/>
        </w:rPr>
      </w:pPr>
      <w:r w:rsidRPr="00AB6C3E">
        <w:rPr>
          <w:rFonts w:ascii="Times New Roman" w:hAnsi="Times New Roman" w:cs="Times New Roman"/>
        </w:rPr>
        <w:t xml:space="preserve">Le parti danno atto, accettano e convengono che eventuali atti modificativi o novativi applicabili in via diretta agli affidamenti in essere costituiranno atti </w:t>
      </w:r>
      <w:proofErr w:type="spellStart"/>
      <w:r w:rsidRPr="00AB6C3E">
        <w:rPr>
          <w:rFonts w:ascii="Times New Roman" w:hAnsi="Times New Roman" w:cs="Times New Roman"/>
        </w:rPr>
        <w:t>eterointegrativi</w:t>
      </w:r>
      <w:proofErr w:type="spellEnd"/>
      <w:r w:rsidRPr="00AB6C3E">
        <w:rPr>
          <w:rFonts w:ascii="Times New Roman" w:hAnsi="Times New Roman" w:cs="Times New Roman"/>
        </w:rPr>
        <w:t xml:space="preserve"> </w:t>
      </w:r>
      <w:r w:rsidR="00137559" w:rsidRPr="00AB6C3E">
        <w:rPr>
          <w:rFonts w:ascii="Times New Roman" w:hAnsi="Times New Roman" w:cs="Times New Roman"/>
        </w:rPr>
        <w:t>dell’affidamento</w:t>
      </w:r>
      <w:r w:rsidRPr="00AB6C3E">
        <w:rPr>
          <w:rFonts w:ascii="Times New Roman" w:hAnsi="Times New Roman" w:cs="Times New Roman"/>
        </w:rPr>
        <w:t xml:space="preserve"> e del presente atto senza necessità di intervento delle parti medesime.</w:t>
      </w:r>
    </w:p>
    <w:p w14:paraId="45EB1648" w14:textId="203EE081" w:rsidR="00293DF4" w:rsidRPr="00AB6C3E" w:rsidRDefault="00293DF4" w:rsidP="00293DF4">
      <w:pPr>
        <w:pStyle w:val="Titolo1"/>
        <w:spacing w:line="288" w:lineRule="auto"/>
        <w:ind w:left="431" w:hanging="431"/>
        <w:rPr>
          <w:rFonts w:ascii="Times New Roman" w:hAnsi="Times New Roman" w:cs="Times New Roman"/>
          <w:b/>
          <w:bCs/>
          <w:color w:val="auto"/>
          <w:sz w:val="24"/>
          <w:szCs w:val="24"/>
        </w:rPr>
      </w:pPr>
      <w:r w:rsidRPr="00AB6C3E">
        <w:rPr>
          <w:rFonts w:ascii="Times New Roman" w:hAnsi="Times New Roman" w:cs="Times New Roman"/>
          <w:b/>
          <w:bCs/>
          <w:color w:val="auto"/>
          <w:sz w:val="24"/>
          <w:szCs w:val="24"/>
        </w:rPr>
        <w:t xml:space="preserve">Modalità di </w:t>
      </w:r>
      <w:r w:rsidR="005E49FC" w:rsidRPr="00AB6C3E">
        <w:rPr>
          <w:rFonts w:ascii="Times New Roman" w:hAnsi="Times New Roman" w:cs="Times New Roman"/>
          <w:b/>
          <w:bCs/>
          <w:color w:val="auto"/>
          <w:sz w:val="24"/>
          <w:szCs w:val="24"/>
        </w:rPr>
        <w:t>rendicontazione in merito all’andamento economico e finanziario del contratto</w:t>
      </w:r>
    </w:p>
    <w:p w14:paraId="7F20E387" w14:textId="609BBDE9" w:rsidR="00293DF4" w:rsidRPr="00AB6C3E" w:rsidRDefault="00293DF4" w:rsidP="00293DF4">
      <w:pPr>
        <w:spacing w:line="288" w:lineRule="auto"/>
        <w:jc w:val="both"/>
        <w:rPr>
          <w:rFonts w:ascii="Times New Roman" w:hAnsi="Times New Roman" w:cs="Times New Roman"/>
        </w:rPr>
      </w:pPr>
      <w:r w:rsidRPr="00AB6C3E">
        <w:rPr>
          <w:rFonts w:ascii="Times New Roman" w:hAnsi="Times New Roman" w:cs="Times New Roman"/>
        </w:rPr>
        <w:t>Ai sensi di quanto disposto dalla Misura 4 dell’Allegato A alla Deliberazione 22/2019</w:t>
      </w:r>
      <w:r w:rsidR="00C561A3" w:rsidRPr="00AB6C3E">
        <w:rPr>
          <w:rFonts w:ascii="Times New Roman" w:hAnsi="Times New Roman" w:cs="Times New Roman"/>
        </w:rPr>
        <w:t xml:space="preserve">, il gestore del servizio è tenuto con cadenza annuale a trasmettere all’Ente affidante gli schemi di contabilità </w:t>
      </w:r>
      <w:proofErr w:type="spellStart"/>
      <w:r w:rsidR="00C561A3" w:rsidRPr="00AB6C3E">
        <w:rPr>
          <w:rFonts w:ascii="Times New Roman" w:hAnsi="Times New Roman" w:cs="Times New Roman"/>
        </w:rPr>
        <w:t>regolatoria</w:t>
      </w:r>
      <w:proofErr w:type="spellEnd"/>
      <w:r w:rsidR="00C561A3" w:rsidRPr="00AB6C3E">
        <w:rPr>
          <w:rFonts w:ascii="Times New Roman" w:hAnsi="Times New Roman" w:cs="Times New Roman"/>
        </w:rPr>
        <w:t xml:space="preserve"> di cui al Prospetto 6 dell’Annesso 1 alla citata delibera.</w:t>
      </w:r>
    </w:p>
    <w:p w14:paraId="5BBCE7B8" w14:textId="1ACF027D"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Come previsto dalle disposizioni </w:t>
      </w:r>
      <w:r w:rsidR="00F519CC" w:rsidRPr="00AB6C3E">
        <w:rPr>
          <w:rFonts w:ascii="Times New Roman" w:hAnsi="Times New Roman" w:cs="Times New Roman"/>
        </w:rPr>
        <w:t>g</w:t>
      </w:r>
      <w:r w:rsidRPr="00AB6C3E">
        <w:rPr>
          <w:rFonts w:ascii="Times New Roman" w:hAnsi="Times New Roman" w:cs="Times New Roman"/>
        </w:rPr>
        <w:t xml:space="preserve">li schemi di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xml:space="preserve"> riguardanti il contratto di servizio oggetto del presente atto devono essere forniti in maniera separata da:</w:t>
      </w:r>
    </w:p>
    <w:p w14:paraId="791252E2" w14:textId="062028EF" w:rsidR="00C561A3" w:rsidRPr="00AB6C3E" w:rsidRDefault="00C561A3" w:rsidP="00C561A3">
      <w:pPr>
        <w:pStyle w:val="Paragrafoelenco"/>
        <w:numPr>
          <w:ilvl w:val="0"/>
          <w:numId w:val="4"/>
        </w:numPr>
        <w:spacing w:line="288" w:lineRule="auto"/>
        <w:jc w:val="both"/>
        <w:rPr>
          <w:rFonts w:ascii="Times New Roman" w:hAnsi="Times New Roman" w:cs="Times New Roman"/>
        </w:rPr>
      </w:pPr>
      <w:proofErr w:type="gramStart"/>
      <w:r w:rsidRPr="00AB6C3E">
        <w:rPr>
          <w:rFonts w:ascii="Times New Roman" w:hAnsi="Times New Roman" w:cs="Times New Roman"/>
        </w:rPr>
        <w:lastRenderedPageBreak/>
        <w:t>altri</w:t>
      </w:r>
      <w:proofErr w:type="gramEnd"/>
      <w:r w:rsidRPr="00AB6C3E">
        <w:rPr>
          <w:rFonts w:ascii="Times New Roman" w:hAnsi="Times New Roman" w:cs="Times New Roman"/>
        </w:rPr>
        <w:t xml:space="preserve"> contratti di servizio di trasporto marittimo passeggeri;</w:t>
      </w:r>
    </w:p>
    <w:p w14:paraId="4F02AE86" w14:textId="04BFCC58" w:rsidR="00C561A3" w:rsidRPr="00AB6C3E" w:rsidRDefault="00C561A3" w:rsidP="00C561A3">
      <w:pPr>
        <w:pStyle w:val="Paragrafoelenco"/>
        <w:numPr>
          <w:ilvl w:val="0"/>
          <w:numId w:val="4"/>
        </w:numPr>
        <w:spacing w:line="288" w:lineRule="auto"/>
        <w:jc w:val="both"/>
        <w:rPr>
          <w:rFonts w:ascii="Times New Roman" w:hAnsi="Times New Roman" w:cs="Times New Roman"/>
        </w:rPr>
      </w:pPr>
      <w:proofErr w:type="gramStart"/>
      <w:r w:rsidRPr="00AB6C3E">
        <w:rPr>
          <w:rFonts w:ascii="Times New Roman" w:hAnsi="Times New Roman" w:cs="Times New Roman"/>
        </w:rPr>
        <w:t>altri</w:t>
      </w:r>
      <w:proofErr w:type="gramEnd"/>
      <w:r w:rsidRPr="00AB6C3E">
        <w:rPr>
          <w:rFonts w:ascii="Times New Roman" w:hAnsi="Times New Roman" w:cs="Times New Roman"/>
        </w:rPr>
        <w:t xml:space="preserve"> servizi di interesse economico generale (SIEG);</w:t>
      </w:r>
    </w:p>
    <w:p w14:paraId="34EE1F6D" w14:textId="7E17C0AD" w:rsidR="00C561A3" w:rsidRPr="00AB6C3E" w:rsidRDefault="00C561A3" w:rsidP="00C561A3">
      <w:pPr>
        <w:pStyle w:val="Paragrafoelenco"/>
        <w:numPr>
          <w:ilvl w:val="0"/>
          <w:numId w:val="4"/>
        </w:numPr>
        <w:spacing w:line="288" w:lineRule="auto"/>
        <w:jc w:val="both"/>
        <w:rPr>
          <w:rFonts w:ascii="Times New Roman" w:hAnsi="Times New Roman" w:cs="Times New Roman"/>
        </w:rPr>
      </w:pPr>
      <w:proofErr w:type="gramStart"/>
      <w:r w:rsidRPr="00AB6C3E">
        <w:rPr>
          <w:rFonts w:ascii="Times New Roman" w:hAnsi="Times New Roman" w:cs="Times New Roman"/>
        </w:rPr>
        <w:t>altre</w:t>
      </w:r>
      <w:proofErr w:type="gramEnd"/>
      <w:r w:rsidRPr="00AB6C3E">
        <w:rPr>
          <w:rFonts w:ascii="Times New Roman" w:hAnsi="Times New Roman" w:cs="Times New Roman"/>
        </w:rPr>
        <w:t xml:space="preserve"> attività di tipo commerciale, relative al trasporto marittimo, passeggeri e/o merci;</w:t>
      </w:r>
    </w:p>
    <w:p w14:paraId="2E385CC9" w14:textId="1ACF1179" w:rsidR="00C561A3" w:rsidRPr="00AB6C3E" w:rsidRDefault="00C561A3" w:rsidP="00C561A3">
      <w:pPr>
        <w:pStyle w:val="Paragrafoelenco"/>
        <w:numPr>
          <w:ilvl w:val="0"/>
          <w:numId w:val="4"/>
        </w:numPr>
        <w:spacing w:line="288" w:lineRule="auto"/>
        <w:jc w:val="both"/>
        <w:rPr>
          <w:rFonts w:ascii="Times New Roman" w:hAnsi="Times New Roman" w:cs="Times New Roman"/>
        </w:rPr>
      </w:pPr>
      <w:proofErr w:type="gramStart"/>
      <w:r w:rsidRPr="00AB6C3E">
        <w:rPr>
          <w:rFonts w:ascii="Times New Roman" w:hAnsi="Times New Roman" w:cs="Times New Roman"/>
        </w:rPr>
        <w:t>altre</w:t>
      </w:r>
      <w:proofErr w:type="gramEnd"/>
      <w:r w:rsidRPr="00AB6C3E">
        <w:rPr>
          <w:rFonts w:ascii="Times New Roman" w:hAnsi="Times New Roman" w:cs="Times New Roman"/>
        </w:rPr>
        <w:t xml:space="preserve"> attività di tipo commerciale.</w:t>
      </w:r>
    </w:p>
    <w:p w14:paraId="1CE1AA7F" w14:textId="2803901C"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Gli schemi di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xml:space="preserve"> devono essere compilati, per i conti economici, individuando le componenti economiche, negative e positive, (i) per ciascuna linee esercita, (ii) per ciascun contratto di servizio di trasporto marittimo e (iii) per la totalità delle attività esercite dall’impresa, come risultanti dal bilancio di esercizio, provvedendo alla loro riconciliazione.</w:t>
      </w:r>
    </w:p>
    <w:p w14:paraId="4E14488B" w14:textId="60CDEA4D"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Ai fini della redazione della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le componenti economiche riguardanti la gestione dei servizi marittimi afferenti a ciascun contratto di servizio dovranno risultare:</w:t>
      </w:r>
    </w:p>
    <w:p w14:paraId="27F8CFD1" w14:textId="129F23DE" w:rsidR="00C561A3" w:rsidRPr="00AB6C3E" w:rsidRDefault="00C561A3" w:rsidP="00C561A3">
      <w:pPr>
        <w:pStyle w:val="Paragrafoelenco"/>
        <w:numPr>
          <w:ilvl w:val="0"/>
          <w:numId w:val="6"/>
        </w:numPr>
        <w:spacing w:line="288" w:lineRule="auto"/>
        <w:jc w:val="both"/>
        <w:rPr>
          <w:rFonts w:ascii="Times New Roman" w:hAnsi="Times New Roman" w:cs="Times New Roman"/>
        </w:rPr>
      </w:pPr>
      <w:proofErr w:type="gramStart"/>
      <w:r w:rsidRPr="00AB6C3E">
        <w:rPr>
          <w:rFonts w:ascii="Times New Roman" w:hAnsi="Times New Roman" w:cs="Times New Roman"/>
        </w:rPr>
        <w:t>di</w:t>
      </w:r>
      <w:proofErr w:type="gramEnd"/>
      <w:r w:rsidRPr="00AB6C3E">
        <w:rPr>
          <w:rFonts w:ascii="Times New Roman" w:hAnsi="Times New Roman" w:cs="Times New Roman"/>
        </w:rPr>
        <w:t xml:space="preserve"> diretta ed esclusiva pertinenza del centro di costo rappresentato (i) dalla singola linea marittima</w:t>
      </w:r>
      <w:r w:rsidR="00F519CC" w:rsidRPr="00AB6C3E">
        <w:rPr>
          <w:rFonts w:ascii="Times New Roman" w:hAnsi="Times New Roman" w:cs="Times New Roman"/>
        </w:rPr>
        <w:t>;</w:t>
      </w:r>
    </w:p>
    <w:p w14:paraId="0F495494" w14:textId="77777777" w:rsidR="00C561A3" w:rsidRPr="00AB6C3E" w:rsidRDefault="00C561A3" w:rsidP="00C561A3">
      <w:pPr>
        <w:pStyle w:val="Paragrafoelenco"/>
        <w:numPr>
          <w:ilvl w:val="0"/>
          <w:numId w:val="6"/>
        </w:numPr>
        <w:spacing w:line="288" w:lineRule="auto"/>
        <w:jc w:val="both"/>
        <w:rPr>
          <w:rFonts w:ascii="Times New Roman" w:hAnsi="Times New Roman" w:cs="Times New Roman"/>
        </w:rPr>
      </w:pPr>
      <w:proofErr w:type="gramStart"/>
      <w:r w:rsidRPr="00AB6C3E">
        <w:rPr>
          <w:rFonts w:ascii="Times New Roman" w:hAnsi="Times New Roman" w:cs="Times New Roman"/>
        </w:rPr>
        <w:t>esercita</w:t>
      </w:r>
      <w:proofErr w:type="gramEnd"/>
      <w:r w:rsidRPr="00AB6C3E">
        <w:rPr>
          <w:rFonts w:ascii="Times New Roman" w:hAnsi="Times New Roman" w:cs="Times New Roman"/>
        </w:rPr>
        <w:t xml:space="preserve"> nell’ambito del contratto di servizio stesso e (ii) dal singolo contratto di servizio;</w:t>
      </w:r>
    </w:p>
    <w:p w14:paraId="0B3E6878" w14:textId="36F82E26" w:rsidR="00C561A3" w:rsidRPr="00AB6C3E" w:rsidRDefault="00C561A3" w:rsidP="00C561A3">
      <w:pPr>
        <w:pStyle w:val="Paragrafoelenco"/>
        <w:numPr>
          <w:ilvl w:val="0"/>
          <w:numId w:val="6"/>
        </w:numPr>
        <w:spacing w:line="288" w:lineRule="auto"/>
        <w:jc w:val="both"/>
        <w:rPr>
          <w:rFonts w:ascii="Times New Roman" w:hAnsi="Times New Roman" w:cs="Times New Roman"/>
        </w:rPr>
      </w:pPr>
      <w:proofErr w:type="gramStart"/>
      <w:r w:rsidRPr="00AB6C3E">
        <w:rPr>
          <w:rFonts w:ascii="Times New Roman" w:hAnsi="Times New Roman" w:cs="Times New Roman"/>
        </w:rPr>
        <w:t>riferibili</w:t>
      </w:r>
      <w:proofErr w:type="gramEnd"/>
      <w:r w:rsidRPr="00AB6C3E">
        <w:rPr>
          <w:rFonts w:ascii="Times New Roman" w:hAnsi="Times New Roman" w:cs="Times New Roman"/>
        </w:rPr>
        <w:t xml:space="preserve"> a più linee marittime gestite, in tal caso devono essere allocate in base a specifici driver.</w:t>
      </w:r>
    </w:p>
    <w:p w14:paraId="1CC51542" w14:textId="20AED846"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Gli schemi di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xml:space="preserve"> distinguono, per i conti di stato patrimoniale, le componenti patrimoniali, attive e passive, (i) per ciascun contratto di servizio di trasporto marittimo e (ii) per la totalità delle attività esercite dall’IN, come risultanti da bilancio d’esercizio, provvedendo alla loro riconciliazione.</w:t>
      </w:r>
    </w:p>
    <w:p w14:paraId="4FCD5440" w14:textId="3836DE30"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Ai fini della redazione della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le componenti patrimoniali riguardanti la gestione dei</w:t>
      </w:r>
    </w:p>
    <w:p w14:paraId="1325FBD6" w14:textId="77777777" w:rsidR="00C561A3" w:rsidRPr="00AB6C3E" w:rsidRDefault="00C561A3" w:rsidP="00C561A3">
      <w:pPr>
        <w:spacing w:line="288" w:lineRule="auto"/>
        <w:jc w:val="both"/>
        <w:rPr>
          <w:rFonts w:ascii="Times New Roman" w:hAnsi="Times New Roman" w:cs="Times New Roman"/>
        </w:rPr>
      </w:pPr>
      <w:proofErr w:type="gramStart"/>
      <w:r w:rsidRPr="00AB6C3E">
        <w:rPr>
          <w:rFonts w:ascii="Times New Roman" w:hAnsi="Times New Roman" w:cs="Times New Roman"/>
        </w:rPr>
        <w:t>servizi</w:t>
      </w:r>
      <w:proofErr w:type="gramEnd"/>
      <w:r w:rsidRPr="00AB6C3E">
        <w:rPr>
          <w:rFonts w:ascii="Times New Roman" w:hAnsi="Times New Roman" w:cs="Times New Roman"/>
        </w:rPr>
        <w:t xml:space="preserve"> marittimi afferenti a ciascun contratto di servizio dovranno risultare:</w:t>
      </w:r>
    </w:p>
    <w:p w14:paraId="333AF964" w14:textId="0EFE80DE" w:rsidR="00C561A3" w:rsidRPr="00AB6C3E" w:rsidRDefault="00C561A3" w:rsidP="00C561A3">
      <w:pPr>
        <w:pStyle w:val="Paragrafoelenco"/>
        <w:numPr>
          <w:ilvl w:val="0"/>
          <w:numId w:val="7"/>
        </w:numPr>
        <w:spacing w:line="288" w:lineRule="auto"/>
        <w:jc w:val="both"/>
        <w:rPr>
          <w:rFonts w:ascii="Times New Roman" w:hAnsi="Times New Roman" w:cs="Times New Roman"/>
        </w:rPr>
      </w:pPr>
      <w:proofErr w:type="gramStart"/>
      <w:r w:rsidRPr="00AB6C3E">
        <w:rPr>
          <w:rFonts w:ascii="Times New Roman" w:hAnsi="Times New Roman" w:cs="Times New Roman"/>
        </w:rPr>
        <w:t>di</w:t>
      </w:r>
      <w:proofErr w:type="gramEnd"/>
      <w:r w:rsidRPr="00AB6C3E">
        <w:rPr>
          <w:rFonts w:ascii="Times New Roman" w:hAnsi="Times New Roman" w:cs="Times New Roman"/>
        </w:rPr>
        <w:t xml:space="preserve"> diretta ed esclusiva pertinenza del centro di costo rappresentato dal singolo contratto di servizio;</w:t>
      </w:r>
    </w:p>
    <w:p w14:paraId="787E3117" w14:textId="54A27487" w:rsidR="00C561A3" w:rsidRPr="00AB6C3E" w:rsidRDefault="00C561A3" w:rsidP="00C561A3">
      <w:pPr>
        <w:pStyle w:val="Paragrafoelenco"/>
        <w:numPr>
          <w:ilvl w:val="0"/>
          <w:numId w:val="7"/>
        </w:numPr>
        <w:spacing w:line="288" w:lineRule="auto"/>
        <w:jc w:val="both"/>
        <w:rPr>
          <w:rFonts w:ascii="Times New Roman" w:hAnsi="Times New Roman" w:cs="Times New Roman"/>
        </w:rPr>
      </w:pPr>
      <w:proofErr w:type="gramStart"/>
      <w:r w:rsidRPr="00AB6C3E">
        <w:rPr>
          <w:rFonts w:ascii="Times New Roman" w:hAnsi="Times New Roman" w:cs="Times New Roman"/>
        </w:rPr>
        <w:t>riferibili</w:t>
      </w:r>
      <w:proofErr w:type="gramEnd"/>
      <w:r w:rsidRPr="00AB6C3E">
        <w:rPr>
          <w:rFonts w:ascii="Times New Roman" w:hAnsi="Times New Roman" w:cs="Times New Roman"/>
        </w:rPr>
        <w:t xml:space="preserve"> a più contratti di servizio, in tal caso devono essere allocate in base a specifici driver.</w:t>
      </w:r>
    </w:p>
    <w:p w14:paraId="4EA314D0" w14:textId="6F2129D0" w:rsidR="00F41F50" w:rsidRPr="00AB6C3E" w:rsidRDefault="00F41F50" w:rsidP="00F41F50">
      <w:pPr>
        <w:spacing w:line="288" w:lineRule="auto"/>
        <w:jc w:val="both"/>
        <w:rPr>
          <w:rFonts w:ascii="Times New Roman" w:hAnsi="Times New Roman" w:cs="Times New Roman"/>
        </w:rPr>
      </w:pPr>
      <w:r w:rsidRPr="00AB6C3E">
        <w:rPr>
          <w:rFonts w:ascii="Times New Roman" w:hAnsi="Times New Roman" w:cs="Times New Roman"/>
        </w:rPr>
        <w:t xml:space="preserve">In virtù di quanto disposto dalla Deliberazione ART citata, le parti concordano che i costi afferenti ai mezzi impiegati dall’impresa su più linee saranno attribuiti alle singole linee sulla base del </w:t>
      </w:r>
      <w:r w:rsidRPr="00AB6C3E">
        <w:rPr>
          <w:rFonts w:ascii="Times New Roman" w:hAnsi="Times New Roman" w:cs="Times New Roman"/>
          <w:u w:val="single"/>
        </w:rPr>
        <w:t>numero di miglia nautiche realizzate dal mezzo sulla linea specifica</w:t>
      </w:r>
      <w:r w:rsidRPr="00AB6C3E">
        <w:rPr>
          <w:rFonts w:ascii="Times New Roman" w:hAnsi="Times New Roman" w:cs="Times New Roman"/>
        </w:rPr>
        <w:t>.</w:t>
      </w:r>
    </w:p>
    <w:p w14:paraId="664DF111" w14:textId="3073C6F6" w:rsidR="00F41F50" w:rsidRPr="00AB6C3E" w:rsidRDefault="00F41F50" w:rsidP="00F41F50">
      <w:pPr>
        <w:spacing w:line="288" w:lineRule="auto"/>
        <w:jc w:val="both"/>
        <w:rPr>
          <w:rFonts w:ascii="Times New Roman" w:hAnsi="Times New Roman" w:cs="Times New Roman"/>
        </w:rPr>
      </w:pPr>
      <w:r w:rsidRPr="00AB6C3E">
        <w:rPr>
          <w:rFonts w:ascii="Times New Roman" w:hAnsi="Times New Roman" w:cs="Times New Roman"/>
          <w:u w:val="single"/>
        </w:rPr>
        <w:t>Non possono essere considerate afferenti al contratto di servizio</w:t>
      </w:r>
      <w:r w:rsidRPr="00AB6C3E">
        <w:rPr>
          <w:rFonts w:ascii="Times New Roman" w:hAnsi="Times New Roman" w:cs="Times New Roman"/>
        </w:rPr>
        <w:t xml:space="preserve"> o alla singola linea e parimenti essere attribuiti pro quota</w:t>
      </w:r>
      <w:r w:rsidR="00007AC6" w:rsidRPr="00AB6C3E">
        <w:rPr>
          <w:rFonts w:ascii="Times New Roman" w:hAnsi="Times New Roman" w:cs="Times New Roman"/>
        </w:rPr>
        <w:t xml:space="preserve"> quali costi indiretti</w:t>
      </w:r>
      <w:r w:rsidRPr="00AB6C3E">
        <w:rPr>
          <w:rFonts w:ascii="Times New Roman" w:hAnsi="Times New Roman" w:cs="Times New Roman"/>
        </w:rPr>
        <w:t xml:space="preserve"> in fase di rendicontazione i </w:t>
      </w:r>
      <w:r w:rsidRPr="00AB6C3E">
        <w:rPr>
          <w:rFonts w:ascii="Times New Roman" w:hAnsi="Times New Roman" w:cs="Times New Roman"/>
          <w:u w:val="single"/>
        </w:rPr>
        <w:t>seguenti costi</w:t>
      </w:r>
      <w:r w:rsidRPr="00AB6C3E">
        <w:rPr>
          <w:rFonts w:ascii="Times New Roman" w:hAnsi="Times New Roman" w:cs="Times New Roman"/>
        </w:rPr>
        <w:t>:</w:t>
      </w:r>
    </w:p>
    <w:p w14:paraId="725FA7D0" w14:textId="4DFBAE1A" w:rsidR="00F41F50" w:rsidRPr="00AB6C3E" w:rsidRDefault="00F41F50"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multe</w:t>
      </w:r>
      <w:proofErr w:type="gramEnd"/>
      <w:r w:rsidRPr="00AB6C3E">
        <w:rPr>
          <w:rFonts w:ascii="Times New Roman" w:hAnsi="Times New Roman" w:cs="Times New Roman"/>
        </w:rPr>
        <w:t>, sanzioni, penalità</w:t>
      </w:r>
      <w:r w:rsidR="00007AC6" w:rsidRPr="00AB6C3E">
        <w:rPr>
          <w:rFonts w:ascii="Times New Roman" w:hAnsi="Times New Roman" w:cs="Times New Roman"/>
        </w:rPr>
        <w:t xml:space="preserve"> comprese eventuali franchigie connesse a sinistri o danni coperti in quota parte da assicurazioni</w:t>
      </w:r>
      <w:r w:rsidRPr="00AB6C3E">
        <w:rPr>
          <w:rFonts w:ascii="Times New Roman" w:hAnsi="Times New Roman" w:cs="Times New Roman"/>
        </w:rPr>
        <w:t>;</w:t>
      </w:r>
    </w:p>
    <w:p w14:paraId="76550CD2" w14:textId="5A28B07A" w:rsidR="00F41F50" w:rsidRPr="00AB6C3E" w:rsidRDefault="00F41F50"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erogazioni</w:t>
      </w:r>
      <w:proofErr w:type="gramEnd"/>
      <w:r w:rsidRPr="00AB6C3E">
        <w:rPr>
          <w:rFonts w:ascii="Times New Roman" w:hAnsi="Times New Roman" w:cs="Times New Roman"/>
        </w:rPr>
        <w:t xml:space="preserve"> liberali;</w:t>
      </w:r>
    </w:p>
    <w:p w14:paraId="4C198A9A" w14:textId="3524A70D" w:rsidR="00F41F50" w:rsidRPr="00AB6C3E" w:rsidRDefault="00F41F50"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sponsorizzazioni</w:t>
      </w:r>
      <w:proofErr w:type="gramEnd"/>
      <w:r w:rsidRPr="00AB6C3E">
        <w:rPr>
          <w:rFonts w:ascii="Times New Roman" w:hAnsi="Times New Roman" w:cs="Times New Roman"/>
        </w:rPr>
        <w:t>;</w:t>
      </w:r>
    </w:p>
    <w:p w14:paraId="5A2967AD" w14:textId="6CCB69FB" w:rsidR="00F41F50" w:rsidRPr="00AB6C3E" w:rsidRDefault="00F41F50"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costi</w:t>
      </w:r>
      <w:proofErr w:type="gramEnd"/>
      <w:r w:rsidRPr="00AB6C3E">
        <w:rPr>
          <w:rFonts w:ascii="Times New Roman" w:hAnsi="Times New Roman" w:cs="Times New Roman"/>
        </w:rPr>
        <w:t xml:space="preserve"> per assicurazioni non obbligatorie ai sensi di legge;</w:t>
      </w:r>
    </w:p>
    <w:p w14:paraId="52ADB533" w14:textId="42AB37C6" w:rsidR="00F41F50" w:rsidRPr="00AB6C3E" w:rsidRDefault="00F41F50"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sopravvenienze</w:t>
      </w:r>
      <w:proofErr w:type="gramEnd"/>
      <w:r w:rsidRPr="00AB6C3E">
        <w:rPr>
          <w:rFonts w:ascii="Times New Roman" w:hAnsi="Times New Roman" w:cs="Times New Roman"/>
        </w:rPr>
        <w:t xml:space="preserve"> passive;</w:t>
      </w:r>
    </w:p>
    <w:p w14:paraId="3D877887" w14:textId="779BBFB3" w:rsidR="00F41F50" w:rsidRPr="00AB6C3E" w:rsidRDefault="00007AC6"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costi</w:t>
      </w:r>
      <w:proofErr w:type="gramEnd"/>
      <w:r w:rsidRPr="00AB6C3E">
        <w:rPr>
          <w:rFonts w:ascii="Times New Roman" w:hAnsi="Times New Roman" w:cs="Times New Roman"/>
        </w:rPr>
        <w:t xml:space="preserve"> di pubblicità e marketing non esplicitamente afferenti alla specifica linea onerata da obblighi di servizio pubblico;</w:t>
      </w:r>
    </w:p>
    <w:p w14:paraId="2D161C15" w14:textId="663631B1" w:rsidR="00007AC6" w:rsidRPr="00AB6C3E" w:rsidRDefault="00F519CC" w:rsidP="00F41F50">
      <w:pPr>
        <w:pStyle w:val="Paragrafoelenco"/>
        <w:numPr>
          <w:ilvl w:val="0"/>
          <w:numId w:val="9"/>
        </w:numPr>
        <w:spacing w:line="288" w:lineRule="auto"/>
        <w:jc w:val="both"/>
        <w:rPr>
          <w:rFonts w:ascii="Times New Roman" w:hAnsi="Times New Roman" w:cs="Times New Roman"/>
        </w:rPr>
      </w:pPr>
      <w:proofErr w:type="gramStart"/>
      <w:r w:rsidRPr="00AB6C3E">
        <w:rPr>
          <w:rFonts w:ascii="Times New Roman" w:hAnsi="Times New Roman" w:cs="Times New Roman"/>
        </w:rPr>
        <w:t>o</w:t>
      </w:r>
      <w:r w:rsidR="002E1017" w:rsidRPr="00AB6C3E">
        <w:rPr>
          <w:rFonts w:ascii="Times New Roman" w:hAnsi="Times New Roman" w:cs="Times New Roman"/>
        </w:rPr>
        <w:t>neri</w:t>
      </w:r>
      <w:proofErr w:type="gramEnd"/>
      <w:r w:rsidR="002E1017" w:rsidRPr="00AB6C3E">
        <w:rPr>
          <w:rFonts w:ascii="Times New Roman" w:hAnsi="Times New Roman" w:cs="Times New Roman"/>
        </w:rPr>
        <w:t xml:space="preserve"> non ricorrenti e non ordinari</w:t>
      </w:r>
      <w:r w:rsidR="000A701E" w:rsidRPr="00AB6C3E">
        <w:rPr>
          <w:rFonts w:ascii="Times New Roman" w:hAnsi="Times New Roman" w:cs="Times New Roman"/>
        </w:rPr>
        <w:t>.</w:t>
      </w:r>
    </w:p>
    <w:p w14:paraId="5418428F" w14:textId="5DEC31BE" w:rsidR="0069638C" w:rsidRPr="00AB6C3E" w:rsidRDefault="0069638C" w:rsidP="0069638C">
      <w:pPr>
        <w:spacing w:line="288" w:lineRule="auto"/>
        <w:jc w:val="both"/>
        <w:rPr>
          <w:rFonts w:ascii="Times New Roman" w:hAnsi="Times New Roman" w:cs="Times New Roman"/>
        </w:rPr>
      </w:pPr>
      <w:r w:rsidRPr="00AB6C3E">
        <w:rPr>
          <w:rFonts w:ascii="Times New Roman" w:hAnsi="Times New Roman" w:cs="Times New Roman"/>
        </w:rPr>
        <w:t xml:space="preserve">In termini generali, possono essere attribuite al contratto di servizio esclusivamente le componenti economiche e patrimoniali che, alla luce del criterio di pertinenza, risultano ascrivibili </w:t>
      </w:r>
      <w:r w:rsidR="000A701E" w:rsidRPr="00AB6C3E">
        <w:rPr>
          <w:rFonts w:ascii="Times New Roman" w:hAnsi="Times New Roman" w:cs="Times New Roman"/>
        </w:rPr>
        <w:t xml:space="preserve">ed effettivamente sostenuti </w:t>
      </w:r>
      <w:r w:rsidR="00F519CC" w:rsidRPr="00AB6C3E">
        <w:rPr>
          <w:rFonts w:ascii="Times New Roman" w:hAnsi="Times New Roman" w:cs="Times New Roman"/>
        </w:rPr>
        <w:t xml:space="preserve">all’ordinario processo </w:t>
      </w:r>
      <w:r w:rsidR="000A701E" w:rsidRPr="00AB6C3E">
        <w:rPr>
          <w:rFonts w:ascii="Times New Roman" w:hAnsi="Times New Roman" w:cs="Times New Roman"/>
        </w:rPr>
        <w:t>produttivo.</w:t>
      </w:r>
    </w:p>
    <w:p w14:paraId="127192C9" w14:textId="5FD6E167" w:rsidR="0069638C" w:rsidRPr="00AB6C3E" w:rsidRDefault="0069638C" w:rsidP="0069638C">
      <w:pPr>
        <w:spacing w:line="288" w:lineRule="auto"/>
        <w:jc w:val="both"/>
        <w:rPr>
          <w:rFonts w:ascii="Times New Roman" w:hAnsi="Times New Roman" w:cs="Times New Roman"/>
        </w:rPr>
      </w:pPr>
      <w:r w:rsidRPr="00AB6C3E">
        <w:rPr>
          <w:rFonts w:ascii="Times New Roman" w:hAnsi="Times New Roman" w:cs="Times New Roman"/>
        </w:rPr>
        <w:lastRenderedPageBreak/>
        <w:t>I compensi per revisori, sindaci e altre consulenze saranno ammissibili nei limiti massimi dei valori determinati dalle tariffe professionali pro tempore vigenti, posto comunque l’obbligo di rendicontazione dei costi effettivamente sostenuti.</w:t>
      </w:r>
    </w:p>
    <w:p w14:paraId="51207640" w14:textId="52367207" w:rsidR="00F41F50" w:rsidRPr="00AB6C3E" w:rsidRDefault="00007AC6" w:rsidP="00C561A3">
      <w:pPr>
        <w:spacing w:line="288" w:lineRule="auto"/>
        <w:jc w:val="both"/>
        <w:rPr>
          <w:rFonts w:ascii="Times New Roman" w:hAnsi="Times New Roman" w:cs="Times New Roman"/>
        </w:rPr>
      </w:pPr>
      <w:r w:rsidRPr="00AB6C3E">
        <w:rPr>
          <w:rFonts w:ascii="Times New Roman" w:hAnsi="Times New Roman" w:cs="Times New Roman"/>
        </w:rPr>
        <w:t xml:space="preserve">Parimenti, a livello patrimoniale, non possono costituire onere oggetto di capitalizzazione anche ai fini del calcolo del capitale investito netto </w:t>
      </w:r>
      <w:proofErr w:type="spellStart"/>
      <w:r w:rsidRPr="00AB6C3E">
        <w:rPr>
          <w:rFonts w:ascii="Times New Roman" w:hAnsi="Times New Roman" w:cs="Times New Roman"/>
        </w:rPr>
        <w:t>regolatorio</w:t>
      </w:r>
      <w:proofErr w:type="spellEnd"/>
      <w:r w:rsidR="002E1017" w:rsidRPr="00AB6C3E">
        <w:rPr>
          <w:rFonts w:ascii="Times New Roman" w:hAnsi="Times New Roman" w:cs="Times New Roman"/>
        </w:rPr>
        <w:t xml:space="preserve"> le rivalutazion</w:t>
      </w:r>
      <w:r w:rsidR="0069638C" w:rsidRPr="00AB6C3E">
        <w:rPr>
          <w:rFonts w:ascii="Times New Roman" w:hAnsi="Times New Roman" w:cs="Times New Roman"/>
        </w:rPr>
        <w:t>i</w:t>
      </w:r>
      <w:r w:rsidR="002E1017" w:rsidRPr="00AB6C3E">
        <w:rPr>
          <w:rFonts w:ascii="Times New Roman" w:hAnsi="Times New Roman" w:cs="Times New Roman"/>
        </w:rPr>
        <w:t xml:space="preserve"> di beni, beni strumentali di valore non superiore a 516,46 €, beni non strettamente inerenti al servizio e beni indiretti. Inoltre</w:t>
      </w:r>
      <w:r w:rsidR="0069638C" w:rsidRPr="00AB6C3E">
        <w:rPr>
          <w:rFonts w:ascii="Times New Roman" w:hAnsi="Times New Roman" w:cs="Times New Roman"/>
        </w:rPr>
        <w:t>,</w:t>
      </w:r>
      <w:r w:rsidR="002E1017" w:rsidRPr="00AB6C3E">
        <w:rPr>
          <w:rFonts w:ascii="Times New Roman" w:hAnsi="Times New Roman" w:cs="Times New Roman"/>
        </w:rPr>
        <w:t xml:space="preserve"> deve essere fornita indicazione ed evidenza dei beni dismessi e</w:t>
      </w:r>
      <w:r w:rsidR="0069638C" w:rsidRPr="00AB6C3E">
        <w:rPr>
          <w:rFonts w:ascii="Times New Roman" w:hAnsi="Times New Roman" w:cs="Times New Roman"/>
        </w:rPr>
        <w:t xml:space="preserve">/o sostituiti. </w:t>
      </w:r>
    </w:p>
    <w:p w14:paraId="2ACC7488" w14:textId="682DB10E" w:rsidR="0069638C" w:rsidRPr="00AB6C3E" w:rsidRDefault="0069638C" w:rsidP="00C561A3">
      <w:pPr>
        <w:spacing w:line="288" w:lineRule="auto"/>
        <w:jc w:val="both"/>
        <w:rPr>
          <w:rFonts w:ascii="Times New Roman" w:hAnsi="Times New Roman" w:cs="Times New Roman"/>
        </w:rPr>
      </w:pPr>
      <w:r w:rsidRPr="00AB6C3E">
        <w:rPr>
          <w:rFonts w:ascii="Times New Roman" w:hAnsi="Times New Roman" w:cs="Times New Roman"/>
        </w:rPr>
        <w:t>Oltre ai prospetti di cui all’Annesso 1 della Delibera 22/2019 citata, il gestore deve contestualmente fornire, in formato editabile, l’elenco dei beni costituenti l’attivo patrimoniale rendicontato specificando per ciascuno il valore di iscrizione, l’aliquota di ammortamento o la vita utile considerata e il valore del fondo di ammortamento alla data oggetto di rendicontazione.</w:t>
      </w:r>
    </w:p>
    <w:p w14:paraId="5EED3455" w14:textId="2289785B"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Per le componenti economiche e patrimoniali di pertinenza di una pluralità di centri di costo, l’allocazione</w:t>
      </w:r>
      <w:r w:rsidR="005E49FC" w:rsidRPr="00AB6C3E">
        <w:rPr>
          <w:rFonts w:ascii="Times New Roman" w:hAnsi="Times New Roman" w:cs="Times New Roman"/>
        </w:rPr>
        <w:t xml:space="preserve"> </w:t>
      </w:r>
      <w:r w:rsidRPr="00AB6C3E">
        <w:rPr>
          <w:rFonts w:ascii="Times New Roman" w:hAnsi="Times New Roman" w:cs="Times New Roman"/>
        </w:rPr>
        <w:t>a ciascuno di essi avviene in maniera oggettiva e analitica, sulla base di driver scelti in ragione della loro</w:t>
      </w:r>
      <w:r w:rsidR="005E49FC" w:rsidRPr="00AB6C3E">
        <w:rPr>
          <w:rFonts w:ascii="Times New Roman" w:hAnsi="Times New Roman" w:cs="Times New Roman"/>
        </w:rPr>
        <w:t xml:space="preserve"> </w:t>
      </w:r>
      <w:r w:rsidRPr="00AB6C3E">
        <w:rPr>
          <w:rFonts w:ascii="Times New Roman" w:hAnsi="Times New Roman" w:cs="Times New Roman"/>
        </w:rPr>
        <w:t xml:space="preserve">idoneità a misurare i consumi di risorse o la destinazione degli </w:t>
      </w:r>
      <w:proofErr w:type="spellStart"/>
      <w:r w:rsidRPr="00AB6C3E">
        <w:rPr>
          <w:rFonts w:ascii="Times New Roman" w:hAnsi="Times New Roman" w:cs="Times New Roman"/>
        </w:rPr>
        <w:t>asset</w:t>
      </w:r>
      <w:proofErr w:type="spellEnd"/>
      <w:r w:rsidRPr="00AB6C3E">
        <w:rPr>
          <w:rFonts w:ascii="Times New Roman" w:hAnsi="Times New Roman" w:cs="Times New Roman"/>
        </w:rPr>
        <w:t xml:space="preserve"> nell’ambito di uno specifico contratto</w:t>
      </w:r>
      <w:r w:rsidR="005E49FC" w:rsidRPr="00AB6C3E">
        <w:rPr>
          <w:rFonts w:ascii="Times New Roman" w:hAnsi="Times New Roman" w:cs="Times New Roman"/>
        </w:rPr>
        <w:t xml:space="preserve"> </w:t>
      </w:r>
      <w:r w:rsidRPr="00AB6C3E">
        <w:rPr>
          <w:rFonts w:ascii="Times New Roman" w:hAnsi="Times New Roman" w:cs="Times New Roman"/>
        </w:rPr>
        <w:t>di servizio, seguendo principi di causalità e pertinenza sulla base della metodologia FDC (</w:t>
      </w:r>
      <w:proofErr w:type="spellStart"/>
      <w:r w:rsidRPr="00AB6C3E">
        <w:rPr>
          <w:rFonts w:ascii="Times New Roman" w:hAnsi="Times New Roman" w:cs="Times New Roman"/>
        </w:rPr>
        <w:t>Fully</w:t>
      </w:r>
      <w:proofErr w:type="spellEnd"/>
      <w:r w:rsidRPr="00AB6C3E">
        <w:rPr>
          <w:rFonts w:ascii="Times New Roman" w:hAnsi="Times New Roman" w:cs="Times New Roman"/>
        </w:rPr>
        <w:t xml:space="preserve"> Distributed</w:t>
      </w:r>
      <w:r w:rsidR="005E49FC" w:rsidRPr="00AB6C3E">
        <w:rPr>
          <w:rFonts w:ascii="Times New Roman" w:hAnsi="Times New Roman" w:cs="Times New Roman"/>
        </w:rPr>
        <w:t xml:space="preserve"> </w:t>
      </w:r>
      <w:proofErr w:type="spellStart"/>
      <w:r w:rsidRPr="00AB6C3E">
        <w:rPr>
          <w:rFonts w:ascii="Times New Roman" w:hAnsi="Times New Roman" w:cs="Times New Roman"/>
        </w:rPr>
        <w:t>Costing</w:t>
      </w:r>
      <w:proofErr w:type="spellEnd"/>
      <w:r w:rsidRPr="00AB6C3E">
        <w:rPr>
          <w:rFonts w:ascii="Times New Roman" w:hAnsi="Times New Roman" w:cs="Times New Roman"/>
        </w:rPr>
        <w:t>). I driver utilizzati sono descritti in ogni dettaglio, metodologico e quantitativo, nelle note</w:t>
      </w:r>
      <w:r w:rsidR="005E49FC" w:rsidRPr="00AB6C3E">
        <w:rPr>
          <w:rFonts w:ascii="Times New Roman" w:hAnsi="Times New Roman" w:cs="Times New Roman"/>
        </w:rPr>
        <w:t xml:space="preserve"> </w:t>
      </w:r>
      <w:r w:rsidRPr="00AB6C3E">
        <w:rPr>
          <w:rFonts w:ascii="Times New Roman" w:hAnsi="Times New Roman" w:cs="Times New Roman"/>
        </w:rPr>
        <w:t xml:space="preserve">illustrative alla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w:t>
      </w:r>
    </w:p>
    <w:p w14:paraId="0EDAFA74" w14:textId="7917AACB" w:rsidR="008C1056" w:rsidRPr="00AB6C3E" w:rsidRDefault="008C1056" w:rsidP="00C561A3">
      <w:pPr>
        <w:spacing w:line="288" w:lineRule="auto"/>
        <w:jc w:val="both"/>
        <w:rPr>
          <w:rFonts w:ascii="Times New Roman" w:hAnsi="Times New Roman" w:cs="Times New Roman"/>
        </w:rPr>
      </w:pPr>
      <w:r w:rsidRPr="00AB6C3E">
        <w:rPr>
          <w:rFonts w:ascii="Times New Roman" w:hAnsi="Times New Roman" w:cs="Times New Roman"/>
        </w:rPr>
        <w:t>I driver per l’attribuzione dei costi alle linee oggetto dell’affidamento risultano essere:</w:t>
      </w:r>
    </w:p>
    <w:p w14:paraId="1C0015D3" w14:textId="1E59BD65" w:rsidR="008C1056" w:rsidRPr="00AB6C3E" w:rsidRDefault="00F519CC" w:rsidP="008C1056">
      <w:pPr>
        <w:pStyle w:val="Paragrafoelenco"/>
        <w:numPr>
          <w:ilvl w:val="0"/>
          <w:numId w:val="17"/>
        </w:numPr>
        <w:spacing w:line="288" w:lineRule="auto"/>
        <w:jc w:val="both"/>
        <w:rPr>
          <w:rFonts w:ascii="Times New Roman" w:hAnsi="Times New Roman" w:cs="Times New Roman"/>
        </w:rPr>
      </w:pPr>
      <w:proofErr w:type="gramStart"/>
      <w:r w:rsidRPr="00AB6C3E">
        <w:rPr>
          <w:rFonts w:ascii="Times New Roman" w:hAnsi="Times New Roman" w:cs="Times New Roman"/>
        </w:rPr>
        <w:t>r</w:t>
      </w:r>
      <w:r w:rsidR="008C1056" w:rsidRPr="00AB6C3E">
        <w:rPr>
          <w:rFonts w:ascii="Times New Roman" w:hAnsi="Times New Roman" w:cs="Times New Roman"/>
        </w:rPr>
        <w:t>elativamente</w:t>
      </w:r>
      <w:proofErr w:type="gramEnd"/>
      <w:r w:rsidR="008C1056" w:rsidRPr="00AB6C3E">
        <w:rPr>
          <w:rFonts w:ascii="Times New Roman" w:hAnsi="Times New Roman" w:cs="Times New Roman"/>
        </w:rPr>
        <w:t xml:space="preserve"> ai costi </w:t>
      </w:r>
      <w:r w:rsidR="00010436" w:rsidRPr="00AB6C3E">
        <w:rPr>
          <w:rFonts w:ascii="Times New Roman" w:hAnsi="Times New Roman" w:cs="Times New Roman"/>
        </w:rPr>
        <w:t xml:space="preserve">diretti del singolo mezzo impiegato non esclusivamente sulla linea, </w:t>
      </w:r>
      <w:r w:rsidR="00010436" w:rsidRPr="00AB6C3E">
        <w:rPr>
          <w:rFonts w:ascii="Times New Roman" w:hAnsi="Times New Roman" w:cs="Times New Roman"/>
          <w:u w:val="single"/>
        </w:rPr>
        <w:t>le miglia nautiche percorse sulla linea in rapporto alle miglia nautiche complessive impiegate dal mezzo</w:t>
      </w:r>
      <w:r w:rsidR="005C1CF7" w:rsidRPr="00AB6C3E">
        <w:rPr>
          <w:rFonts w:ascii="Times New Roman" w:hAnsi="Times New Roman" w:cs="Times New Roman"/>
        </w:rPr>
        <w:t>;</w:t>
      </w:r>
    </w:p>
    <w:p w14:paraId="70A9DBDB" w14:textId="0092A7F5" w:rsidR="005C1CF7" w:rsidRPr="00AB6C3E" w:rsidRDefault="00F519CC" w:rsidP="008C1056">
      <w:pPr>
        <w:pStyle w:val="Paragrafoelenco"/>
        <w:numPr>
          <w:ilvl w:val="0"/>
          <w:numId w:val="17"/>
        </w:numPr>
        <w:spacing w:line="288" w:lineRule="auto"/>
        <w:jc w:val="both"/>
        <w:rPr>
          <w:rFonts w:ascii="Times New Roman" w:hAnsi="Times New Roman" w:cs="Times New Roman"/>
        </w:rPr>
      </w:pPr>
      <w:proofErr w:type="gramStart"/>
      <w:r w:rsidRPr="00AB6C3E">
        <w:rPr>
          <w:rFonts w:ascii="Times New Roman" w:hAnsi="Times New Roman" w:cs="Times New Roman"/>
        </w:rPr>
        <w:t>r</w:t>
      </w:r>
      <w:r w:rsidR="00CD1E8A" w:rsidRPr="00AB6C3E">
        <w:rPr>
          <w:rFonts w:ascii="Times New Roman" w:hAnsi="Times New Roman" w:cs="Times New Roman"/>
        </w:rPr>
        <w:t>elativamente</w:t>
      </w:r>
      <w:proofErr w:type="gramEnd"/>
      <w:r w:rsidR="00CD1E8A" w:rsidRPr="00AB6C3E">
        <w:rPr>
          <w:rFonts w:ascii="Times New Roman" w:hAnsi="Times New Roman" w:cs="Times New Roman"/>
        </w:rPr>
        <w:t xml:space="preserve"> ai costi indiretti cosiddetti “generali e amministrativi”, gli stessi dovranno essere attribuiti al servizio sulla base della quota del valore della produzione del servizio rispetto al valore della produzione complessivo dell’impresa di navigazione.</w:t>
      </w:r>
    </w:p>
    <w:p w14:paraId="10C97233" w14:textId="08D544A7" w:rsidR="00C561A3" w:rsidRPr="00AB6C3E" w:rsidRDefault="005E49FC" w:rsidP="00C561A3">
      <w:pPr>
        <w:spacing w:line="288" w:lineRule="auto"/>
        <w:jc w:val="both"/>
        <w:rPr>
          <w:rFonts w:ascii="Times New Roman" w:hAnsi="Times New Roman" w:cs="Times New Roman"/>
        </w:rPr>
      </w:pPr>
      <w:r w:rsidRPr="00AB6C3E">
        <w:rPr>
          <w:rFonts w:ascii="Times New Roman" w:hAnsi="Times New Roman" w:cs="Times New Roman"/>
        </w:rPr>
        <w:t xml:space="preserve">Ai sensi di quanto disposto dalla Delibera ART 22/2019, ogni anno il gestore </w:t>
      </w:r>
      <w:r w:rsidR="00C561A3" w:rsidRPr="00AB6C3E">
        <w:rPr>
          <w:rFonts w:ascii="Times New Roman" w:hAnsi="Times New Roman" w:cs="Times New Roman"/>
        </w:rPr>
        <w:t xml:space="preserve">trasmette telematicamente gli schemi di contabilità </w:t>
      </w:r>
      <w:proofErr w:type="spellStart"/>
      <w:r w:rsidR="00C561A3" w:rsidRPr="00AB6C3E">
        <w:rPr>
          <w:rFonts w:ascii="Times New Roman" w:hAnsi="Times New Roman" w:cs="Times New Roman"/>
        </w:rPr>
        <w:t>regolatoria</w:t>
      </w:r>
      <w:proofErr w:type="spellEnd"/>
      <w:r w:rsidR="00C561A3" w:rsidRPr="00AB6C3E">
        <w:rPr>
          <w:rFonts w:ascii="Times New Roman" w:hAnsi="Times New Roman" w:cs="Times New Roman"/>
        </w:rPr>
        <w:t xml:space="preserve"> e di rendicontazione</w:t>
      </w:r>
      <w:r w:rsidRPr="00AB6C3E">
        <w:rPr>
          <w:rFonts w:ascii="Times New Roman" w:hAnsi="Times New Roman" w:cs="Times New Roman"/>
        </w:rPr>
        <w:t xml:space="preserve"> </w:t>
      </w:r>
      <w:r w:rsidR="00C561A3" w:rsidRPr="00AB6C3E">
        <w:rPr>
          <w:rFonts w:ascii="Times New Roman" w:hAnsi="Times New Roman" w:cs="Times New Roman"/>
        </w:rPr>
        <w:t>relativa ai dati tecnici riferiti all’esercizio precedente di cui al Prospetto 6 dell’Annesso 1</w:t>
      </w:r>
      <w:r w:rsidRPr="00AB6C3E">
        <w:rPr>
          <w:rFonts w:ascii="Times New Roman" w:hAnsi="Times New Roman" w:cs="Times New Roman"/>
        </w:rPr>
        <w:t xml:space="preserve"> oltre che all’ART anche alla Regione Siciliana Assessorato ai Trasporti tramite PEC all’indirizzo</w:t>
      </w:r>
      <w:r w:rsidR="0070329D">
        <w:rPr>
          <w:rFonts w:ascii="Times New Roman" w:hAnsi="Times New Roman" w:cs="Times New Roman"/>
        </w:rPr>
        <w:t xml:space="preserve"> </w:t>
      </w:r>
      <w:r w:rsidR="0070329D" w:rsidRPr="0070329D">
        <w:rPr>
          <w:rFonts w:ascii="Times New Roman" w:hAnsi="Times New Roman" w:cs="Times New Roman"/>
          <w:u w:val="single"/>
        </w:rPr>
        <w:t>dipartimento.infrastrutture@certmail.regione.sicilia.it</w:t>
      </w:r>
      <w:r w:rsidR="00C561A3" w:rsidRPr="00AB6C3E">
        <w:rPr>
          <w:rFonts w:ascii="Times New Roman" w:hAnsi="Times New Roman" w:cs="Times New Roman"/>
        </w:rPr>
        <w:t>, corredati di una</w:t>
      </w:r>
      <w:r w:rsidRPr="00AB6C3E">
        <w:rPr>
          <w:rFonts w:ascii="Times New Roman" w:hAnsi="Times New Roman" w:cs="Times New Roman"/>
        </w:rPr>
        <w:t xml:space="preserve"> </w:t>
      </w:r>
      <w:r w:rsidR="00C561A3" w:rsidRPr="00AB6C3E">
        <w:rPr>
          <w:rFonts w:ascii="Times New Roman" w:hAnsi="Times New Roman" w:cs="Times New Roman"/>
        </w:rPr>
        <w:t>Relazione illustrativa, entro 60 giorni dall’approvazione del bilancio di esercizio.</w:t>
      </w:r>
    </w:p>
    <w:p w14:paraId="1C53AAE5" w14:textId="151DCDFE" w:rsidR="00C561A3" w:rsidRPr="00AB6C3E" w:rsidRDefault="00C561A3" w:rsidP="00C561A3">
      <w:pPr>
        <w:spacing w:line="288" w:lineRule="auto"/>
        <w:jc w:val="both"/>
        <w:rPr>
          <w:rFonts w:ascii="Times New Roman" w:hAnsi="Times New Roman" w:cs="Times New Roman"/>
        </w:rPr>
      </w:pPr>
      <w:r w:rsidRPr="00AB6C3E">
        <w:rPr>
          <w:rFonts w:ascii="Times New Roman" w:hAnsi="Times New Roman" w:cs="Times New Roman"/>
        </w:rPr>
        <w:t xml:space="preserve">Gli schemi di contabilità </w:t>
      </w:r>
      <w:proofErr w:type="spellStart"/>
      <w:r w:rsidRPr="00AB6C3E">
        <w:rPr>
          <w:rFonts w:ascii="Times New Roman" w:hAnsi="Times New Roman" w:cs="Times New Roman"/>
        </w:rPr>
        <w:t>regolatoria</w:t>
      </w:r>
      <w:proofErr w:type="spellEnd"/>
      <w:r w:rsidRPr="00AB6C3E">
        <w:rPr>
          <w:rFonts w:ascii="Times New Roman" w:hAnsi="Times New Roman" w:cs="Times New Roman"/>
        </w:rPr>
        <w:t xml:space="preserve"> e la Relazione illustrativa sono altresì corredati di una certificazione,</w:t>
      </w:r>
      <w:r w:rsidR="005E49FC" w:rsidRPr="00AB6C3E">
        <w:rPr>
          <w:rFonts w:ascii="Times New Roman" w:hAnsi="Times New Roman" w:cs="Times New Roman"/>
        </w:rPr>
        <w:t xml:space="preserve"> </w:t>
      </w:r>
      <w:r w:rsidRPr="00AB6C3E">
        <w:rPr>
          <w:rFonts w:ascii="Times New Roman" w:hAnsi="Times New Roman" w:cs="Times New Roman"/>
        </w:rPr>
        <w:t xml:space="preserve">redatta da una società di revisione o da un revisore legale dei conti, indipendente, individuata ai sensi del punto 14 </w:t>
      </w:r>
      <w:r w:rsidR="005E49FC" w:rsidRPr="00AB6C3E">
        <w:rPr>
          <w:rFonts w:ascii="Times New Roman" w:hAnsi="Times New Roman" w:cs="Times New Roman"/>
        </w:rPr>
        <w:t xml:space="preserve">della Deliberazione 22/2019 </w:t>
      </w:r>
      <w:r w:rsidRPr="00AB6C3E">
        <w:rPr>
          <w:rFonts w:ascii="Times New Roman" w:hAnsi="Times New Roman" w:cs="Times New Roman"/>
        </w:rPr>
        <w:t>attestante la conformità degli stessi ai criteri illustrati nel presente</w:t>
      </w:r>
      <w:r w:rsidR="005E49FC" w:rsidRPr="00AB6C3E">
        <w:rPr>
          <w:rFonts w:ascii="Times New Roman" w:hAnsi="Times New Roman" w:cs="Times New Roman"/>
        </w:rPr>
        <w:t xml:space="preserve"> </w:t>
      </w:r>
      <w:r w:rsidRPr="00AB6C3E">
        <w:rPr>
          <w:rFonts w:ascii="Times New Roman" w:hAnsi="Times New Roman" w:cs="Times New Roman"/>
        </w:rPr>
        <w:t xml:space="preserve">Atto. </w:t>
      </w:r>
    </w:p>
    <w:p w14:paraId="0D42C3D0" w14:textId="63F1CE4F" w:rsidR="003467B0" w:rsidRPr="00AB6C3E" w:rsidRDefault="003467B0" w:rsidP="003467B0">
      <w:pPr>
        <w:pStyle w:val="Titolo1"/>
        <w:spacing w:line="288" w:lineRule="auto"/>
        <w:ind w:left="431" w:hanging="431"/>
        <w:rPr>
          <w:rFonts w:ascii="Times New Roman" w:hAnsi="Times New Roman" w:cs="Times New Roman"/>
          <w:b/>
          <w:bCs/>
          <w:color w:val="auto"/>
          <w:sz w:val="24"/>
          <w:szCs w:val="24"/>
        </w:rPr>
      </w:pPr>
      <w:r w:rsidRPr="00AB6C3E">
        <w:rPr>
          <w:rFonts w:ascii="Times New Roman" w:hAnsi="Times New Roman" w:cs="Times New Roman"/>
          <w:b/>
          <w:bCs/>
          <w:color w:val="auto"/>
          <w:sz w:val="24"/>
          <w:szCs w:val="24"/>
        </w:rPr>
        <w:t xml:space="preserve">Modalità di aggiornamento del PEF </w:t>
      </w:r>
      <w:proofErr w:type="spellStart"/>
      <w:r w:rsidRPr="00AB6C3E">
        <w:rPr>
          <w:rFonts w:ascii="Times New Roman" w:hAnsi="Times New Roman" w:cs="Times New Roman"/>
          <w:b/>
          <w:bCs/>
          <w:color w:val="auto"/>
          <w:sz w:val="24"/>
          <w:szCs w:val="24"/>
        </w:rPr>
        <w:t>regolatorio</w:t>
      </w:r>
      <w:proofErr w:type="spellEnd"/>
      <w:r w:rsidRPr="00AB6C3E">
        <w:rPr>
          <w:rFonts w:ascii="Times New Roman" w:hAnsi="Times New Roman" w:cs="Times New Roman"/>
          <w:b/>
          <w:bCs/>
          <w:color w:val="auto"/>
          <w:sz w:val="24"/>
          <w:szCs w:val="24"/>
        </w:rPr>
        <w:t xml:space="preserve"> e di verifica dell’equilibrio economico e finanziario </w:t>
      </w:r>
      <w:r w:rsidR="00137559" w:rsidRPr="00AB6C3E">
        <w:rPr>
          <w:rFonts w:ascii="Times New Roman" w:hAnsi="Times New Roman" w:cs="Times New Roman"/>
          <w:b/>
          <w:bCs/>
          <w:color w:val="auto"/>
          <w:sz w:val="24"/>
          <w:szCs w:val="24"/>
        </w:rPr>
        <w:t>dell’affidamento</w:t>
      </w:r>
    </w:p>
    <w:p w14:paraId="049B3A13" w14:textId="77777777" w:rsidR="00E651E6" w:rsidRPr="00AB6C3E" w:rsidRDefault="003467B0" w:rsidP="00C561A3">
      <w:pPr>
        <w:spacing w:line="288" w:lineRule="auto"/>
        <w:jc w:val="both"/>
        <w:rPr>
          <w:rFonts w:ascii="Times New Roman" w:hAnsi="Times New Roman" w:cs="Times New Roman"/>
        </w:rPr>
      </w:pPr>
      <w:r w:rsidRPr="00AB6C3E">
        <w:rPr>
          <w:rFonts w:ascii="Times New Roman" w:hAnsi="Times New Roman" w:cs="Times New Roman"/>
        </w:rPr>
        <w:t xml:space="preserve">Ai sensi di quanto disposto dalla Misura 18 dell’Allegato 1 alla Delibera 22/2019 dell’ART, il periodo </w:t>
      </w:r>
      <w:proofErr w:type="spellStart"/>
      <w:r w:rsidRPr="00AB6C3E">
        <w:rPr>
          <w:rFonts w:ascii="Times New Roman" w:hAnsi="Times New Roman" w:cs="Times New Roman"/>
        </w:rPr>
        <w:t>concessorio</w:t>
      </w:r>
      <w:proofErr w:type="spellEnd"/>
      <w:r w:rsidRPr="00AB6C3E">
        <w:rPr>
          <w:rFonts w:ascii="Times New Roman" w:hAnsi="Times New Roman" w:cs="Times New Roman"/>
        </w:rPr>
        <w:t xml:space="preserve"> di anni 5 oggetto dell’affidamento è suddiviso in due sotto periodi regolatori</w:t>
      </w:r>
      <w:r w:rsidR="00E651E6" w:rsidRPr="00AB6C3E">
        <w:rPr>
          <w:rFonts w:ascii="Times New Roman" w:hAnsi="Times New Roman" w:cs="Times New Roman"/>
        </w:rPr>
        <w:t>:</w:t>
      </w:r>
    </w:p>
    <w:p w14:paraId="1B42A3E1" w14:textId="4FBE1A56" w:rsidR="00E651E6" w:rsidRPr="00AB6C3E" w:rsidRDefault="0045603C" w:rsidP="00E651E6">
      <w:pPr>
        <w:pStyle w:val="Paragrafoelenco"/>
        <w:widowControl w:val="0"/>
        <w:numPr>
          <w:ilvl w:val="0"/>
          <w:numId w:val="16"/>
        </w:numPr>
        <w:tabs>
          <w:tab w:val="left" w:pos="1531"/>
          <w:tab w:val="left" w:pos="1532"/>
        </w:tabs>
        <w:autoSpaceDE w:val="0"/>
        <w:autoSpaceDN w:val="0"/>
        <w:spacing w:after="0" w:line="240" w:lineRule="auto"/>
        <w:rPr>
          <w:rFonts w:ascii="Times New Roman" w:hAnsi="Times New Roman" w:cs="Times New Roman"/>
        </w:rPr>
      </w:pPr>
      <w:r w:rsidRPr="00AB6C3E">
        <w:rPr>
          <w:rFonts w:ascii="Times New Roman" w:hAnsi="Times New Roman" w:cs="Times New Roman"/>
        </w:rPr>
        <w:t xml:space="preserve">Primo </w:t>
      </w:r>
      <w:r w:rsidR="0070329D">
        <w:rPr>
          <w:rFonts w:ascii="Times New Roman" w:hAnsi="Times New Roman" w:cs="Times New Roman"/>
        </w:rPr>
        <w:t>periodo</w:t>
      </w:r>
      <w:r w:rsidRPr="00AB6C3E">
        <w:rPr>
          <w:rFonts w:ascii="Times New Roman" w:hAnsi="Times New Roman" w:cs="Times New Roman"/>
        </w:rPr>
        <w:t xml:space="preserve">, inteso come i primi </w:t>
      </w:r>
      <w:proofErr w:type="gramStart"/>
      <w:r w:rsidR="0070329D">
        <w:rPr>
          <w:rFonts w:ascii="Times New Roman" w:hAnsi="Times New Roman" w:cs="Times New Roman"/>
        </w:rPr>
        <w:t xml:space="preserve">24 </w:t>
      </w:r>
      <w:r w:rsidRPr="00AB6C3E">
        <w:rPr>
          <w:rFonts w:ascii="Times New Roman" w:hAnsi="Times New Roman" w:cs="Times New Roman"/>
        </w:rPr>
        <w:t xml:space="preserve"> mesi</w:t>
      </w:r>
      <w:proofErr w:type="gramEnd"/>
      <w:r w:rsidRPr="00AB6C3E">
        <w:rPr>
          <w:rFonts w:ascii="Times New Roman" w:hAnsi="Times New Roman" w:cs="Times New Roman"/>
        </w:rPr>
        <w:t xml:space="preserve"> a partire dalla sottoscrizione del contratto di servizio</w:t>
      </w:r>
      <w:r w:rsidR="00E651E6" w:rsidRPr="00AB6C3E">
        <w:rPr>
          <w:rFonts w:ascii="Times New Roman" w:hAnsi="Times New Roman" w:cs="Times New Roman"/>
        </w:rPr>
        <w:t>;</w:t>
      </w:r>
    </w:p>
    <w:p w14:paraId="394AA2CB" w14:textId="237B6CD1" w:rsidR="00E651E6" w:rsidRPr="00AB6C3E" w:rsidRDefault="0045603C" w:rsidP="00E651E6">
      <w:pPr>
        <w:pStyle w:val="Paragrafoelenco"/>
        <w:widowControl w:val="0"/>
        <w:numPr>
          <w:ilvl w:val="0"/>
          <w:numId w:val="16"/>
        </w:numPr>
        <w:tabs>
          <w:tab w:val="left" w:pos="1531"/>
          <w:tab w:val="left" w:pos="1532"/>
        </w:tabs>
        <w:autoSpaceDE w:val="0"/>
        <w:autoSpaceDN w:val="0"/>
        <w:spacing w:after="0" w:line="240" w:lineRule="auto"/>
        <w:rPr>
          <w:rFonts w:ascii="Times New Roman" w:hAnsi="Times New Roman" w:cs="Times New Roman"/>
        </w:rPr>
      </w:pPr>
      <w:r w:rsidRPr="00AB6C3E">
        <w:rPr>
          <w:rFonts w:ascii="Times New Roman" w:hAnsi="Times New Roman" w:cs="Times New Roman"/>
        </w:rPr>
        <w:t xml:space="preserve">Successivi </w:t>
      </w:r>
      <w:r w:rsidR="0070329D">
        <w:rPr>
          <w:rFonts w:ascii="Times New Roman" w:hAnsi="Times New Roman" w:cs="Times New Roman"/>
        </w:rPr>
        <w:t>3</w:t>
      </w:r>
      <w:r w:rsidRPr="00AB6C3E">
        <w:rPr>
          <w:rFonts w:ascii="Times New Roman" w:hAnsi="Times New Roman" w:cs="Times New Roman"/>
        </w:rPr>
        <w:t xml:space="preserve"> anni</w:t>
      </w:r>
      <w:r w:rsidR="00E651E6" w:rsidRPr="00AB6C3E">
        <w:rPr>
          <w:rFonts w:ascii="Times New Roman" w:hAnsi="Times New Roman" w:cs="Times New Roman"/>
        </w:rPr>
        <w:t>.</w:t>
      </w:r>
    </w:p>
    <w:p w14:paraId="198E1CB6" w14:textId="77777777" w:rsidR="00E651E6" w:rsidRPr="00AB6C3E" w:rsidRDefault="00E651E6" w:rsidP="00E651E6">
      <w:pPr>
        <w:pStyle w:val="Paragrafoelenco"/>
        <w:widowControl w:val="0"/>
        <w:tabs>
          <w:tab w:val="left" w:pos="1531"/>
          <w:tab w:val="left" w:pos="1532"/>
        </w:tabs>
        <w:autoSpaceDE w:val="0"/>
        <w:autoSpaceDN w:val="0"/>
        <w:spacing w:after="0" w:line="240" w:lineRule="auto"/>
        <w:rPr>
          <w:rFonts w:ascii="Times New Roman" w:hAnsi="Times New Roman" w:cs="Times New Roman"/>
          <w:highlight w:val="green"/>
        </w:rPr>
      </w:pPr>
    </w:p>
    <w:p w14:paraId="1832A146" w14:textId="14C654D1" w:rsidR="0093270B" w:rsidRPr="00AB6C3E" w:rsidRDefault="00E651E6" w:rsidP="00C561A3">
      <w:pPr>
        <w:spacing w:line="288" w:lineRule="auto"/>
        <w:jc w:val="both"/>
        <w:rPr>
          <w:rFonts w:ascii="Times New Roman" w:hAnsi="Times New Roman" w:cs="Times New Roman"/>
        </w:rPr>
      </w:pPr>
      <w:r w:rsidRPr="00AB6C3E">
        <w:rPr>
          <w:rFonts w:ascii="Times New Roman" w:hAnsi="Times New Roman" w:cs="Times New Roman"/>
        </w:rPr>
        <w:t>E</w:t>
      </w:r>
      <w:r w:rsidR="0093270B" w:rsidRPr="00AB6C3E">
        <w:rPr>
          <w:rFonts w:ascii="Times New Roman" w:hAnsi="Times New Roman" w:cs="Times New Roman"/>
        </w:rPr>
        <w:t xml:space="preserve">ntro e non oltre 90 (novanta) giorni dal termine del primo periodo </w:t>
      </w:r>
      <w:proofErr w:type="spellStart"/>
      <w:r w:rsidR="0093270B" w:rsidRPr="00AB6C3E">
        <w:rPr>
          <w:rFonts w:ascii="Times New Roman" w:hAnsi="Times New Roman" w:cs="Times New Roman"/>
        </w:rPr>
        <w:t>regolator</w:t>
      </w:r>
      <w:r w:rsidR="00137559" w:rsidRPr="00AB6C3E">
        <w:rPr>
          <w:rFonts w:ascii="Times New Roman" w:hAnsi="Times New Roman" w:cs="Times New Roman"/>
        </w:rPr>
        <w:t>io</w:t>
      </w:r>
      <w:proofErr w:type="spellEnd"/>
      <w:r w:rsidR="00137559" w:rsidRPr="00AB6C3E">
        <w:rPr>
          <w:rFonts w:ascii="Times New Roman" w:hAnsi="Times New Roman" w:cs="Times New Roman"/>
        </w:rPr>
        <w:t xml:space="preserve">, l’affidatario presenta all’Ente Affidante </w:t>
      </w:r>
      <w:r w:rsidR="0093270B" w:rsidRPr="00AB6C3E">
        <w:rPr>
          <w:rFonts w:ascii="Times New Roman" w:hAnsi="Times New Roman" w:cs="Times New Roman"/>
        </w:rPr>
        <w:t xml:space="preserve">un Piano </w:t>
      </w:r>
      <w:r w:rsidR="00E10D6B" w:rsidRPr="00AB6C3E">
        <w:rPr>
          <w:rFonts w:ascii="Times New Roman" w:hAnsi="Times New Roman" w:cs="Times New Roman"/>
        </w:rPr>
        <w:t>E</w:t>
      </w:r>
      <w:r w:rsidR="0093270B" w:rsidRPr="00AB6C3E">
        <w:rPr>
          <w:rFonts w:ascii="Times New Roman" w:hAnsi="Times New Roman" w:cs="Times New Roman"/>
        </w:rPr>
        <w:t xml:space="preserve">conomico e </w:t>
      </w:r>
      <w:r w:rsidR="00E10D6B" w:rsidRPr="00AB6C3E">
        <w:rPr>
          <w:rFonts w:ascii="Times New Roman" w:hAnsi="Times New Roman" w:cs="Times New Roman"/>
        </w:rPr>
        <w:t>F</w:t>
      </w:r>
      <w:r w:rsidR="0093270B" w:rsidRPr="00AB6C3E">
        <w:rPr>
          <w:rFonts w:ascii="Times New Roman" w:hAnsi="Times New Roman" w:cs="Times New Roman"/>
        </w:rPr>
        <w:t xml:space="preserve">inanziario </w:t>
      </w:r>
      <w:r w:rsidR="00067C50" w:rsidRPr="00AB6C3E">
        <w:rPr>
          <w:rFonts w:ascii="Times New Roman" w:hAnsi="Times New Roman" w:cs="Times New Roman"/>
        </w:rPr>
        <w:t>secondo il modello di cui al Prospetto 3 dell’Annesso 1 alla Delibera</w:t>
      </w:r>
      <w:r w:rsidR="005E3EC4" w:rsidRPr="00AB6C3E">
        <w:rPr>
          <w:rFonts w:ascii="Times New Roman" w:hAnsi="Times New Roman" w:cs="Times New Roman"/>
        </w:rPr>
        <w:t>, corredato da apposita Relazione di cui all’Allegato C.1</w:t>
      </w:r>
      <w:r w:rsidR="00067C50" w:rsidRPr="00AB6C3E">
        <w:rPr>
          <w:rFonts w:ascii="Times New Roman" w:hAnsi="Times New Roman" w:cs="Times New Roman"/>
        </w:rPr>
        <w:t xml:space="preserve"> e comunque coerente con quello presentato in gara e parte integrante e sostanziale degli atti di affidamento.</w:t>
      </w:r>
    </w:p>
    <w:p w14:paraId="7F47A56B" w14:textId="6AA49713" w:rsidR="00067C50" w:rsidRPr="00AB6C3E" w:rsidRDefault="00067C50" w:rsidP="00C561A3">
      <w:pPr>
        <w:spacing w:line="288" w:lineRule="auto"/>
        <w:jc w:val="both"/>
        <w:rPr>
          <w:rFonts w:ascii="Times New Roman" w:hAnsi="Times New Roman" w:cs="Times New Roman"/>
        </w:rPr>
      </w:pPr>
      <w:r w:rsidRPr="00AB6C3E">
        <w:rPr>
          <w:rFonts w:ascii="Times New Roman" w:hAnsi="Times New Roman" w:cs="Times New Roman"/>
        </w:rPr>
        <w:lastRenderedPageBreak/>
        <w:t xml:space="preserve">Come indicato dalla Misura 18 della Delibera 22/2019, con riferimento all’aggiornamento successivo al termine del primo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il PEF deve riportare:</w:t>
      </w:r>
    </w:p>
    <w:p w14:paraId="75619019" w14:textId="7F2A0009" w:rsidR="00067C50" w:rsidRPr="00AB6C3E" w:rsidRDefault="00067C50" w:rsidP="00067C50">
      <w:pPr>
        <w:pStyle w:val="Paragrafoelenco"/>
        <w:numPr>
          <w:ilvl w:val="0"/>
          <w:numId w:val="11"/>
        </w:numPr>
        <w:spacing w:line="288" w:lineRule="auto"/>
        <w:jc w:val="both"/>
        <w:rPr>
          <w:rFonts w:ascii="Times New Roman" w:hAnsi="Times New Roman" w:cs="Times New Roman"/>
        </w:rPr>
      </w:pPr>
      <w:r w:rsidRPr="00AB6C3E">
        <w:rPr>
          <w:rFonts w:ascii="Times New Roman" w:hAnsi="Times New Roman" w:cs="Times New Roman"/>
        </w:rPr>
        <w:t>Per gli anni già trascorsi i dati di ricavo e costo, nonché la valorizzazione del capitale investito netto a consuntivo;</w:t>
      </w:r>
    </w:p>
    <w:p w14:paraId="0950671D" w14:textId="22F624FB" w:rsidR="00067C50" w:rsidRPr="00AB6C3E" w:rsidRDefault="00067C50" w:rsidP="00067C50">
      <w:pPr>
        <w:pStyle w:val="Paragrafoelenco"/>
        <w:numPr>
          <w:ilvl w:val="0"/>
          <w:numId w:val="11"/>
        </w:numPr>
        <w:spacing w:line="288" w:lineRule="auto"/>
        <w:jc w:val="both"/>
        <w:rPr>
          <w:rFonts w:ascii="Times New Roman" w:hAnsi="Times New Roman" w:cs="Times New Roman"/>
        </w:rPr>
      </w:pPr>
      <w:r w:rsidRPr="00AB6C3E">
        <w:rPr>
          <w:rFonts w:ascii="Times New Roman" w:hAnsi="Times New Roman" w:cs="Times New Roman"/>
        </w:rPr>
        <w:t xml:space="preserve">Per gli anni del secondo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xml:space="preserve"> un aggiornamento delle voci di Piano,</w:t>
      </w:r>
      <w:r w:rsidR="005E3EC4" w:rsidRPr="00AB6C3E">
        <w:rPr>
          <w:rFonts w:ascii="Times New Roman" w:hAnsi="Times New Roman" w:cs="Times New Roman"/>
        </w:rPr>
        <w:t xml:space="preserve"> corredato da apposita Relazione di cui all’Allegato C.1,</w:t>
      </w:r>
      <w:r w:rsidRPr="00AB6C3E">
        <w:rPr>
          <w:rFonts w:ascii="Times New Roman" w:hAnsi="Times New Roman" w:cs="Times New Roman"/>
        </w:rPr>
        <w:t xml:space="preserve"> determinato sulla base dell’andamento degli effettivi prezzi di mercato e sulla base di elementi oggettivi e verificabili e non su stime non suffragate da idonee giustificazioni</w:t>
      </w:r>
      <w:r w:rsidR="005E3EC4" w:rsidRPr="00AB6C3E">
        <w:rPr>
          <w:rFonts w:ascii="Times New Roman" w:hAnsi="Times New Roman" w:cs="Times New Roman"/>
        </w:rPr>
        <w:t>.</w:t>
      </w:r>
    </w:p>
    <w:p w14:paraId="552E2B93" w14:textId="128B89B2" w:rsidR="007111BC" w:rsidRPr="00AB6C3E" w:rsidRDefault="007111BC" w:rsidP="007111BC">
      <w:pPr>
        <w:spacing w:line="288" w:lineRule="auto"/>
        <w:jc w:val="both"/>
        <w:rPr>
          <w:rFonts w:ascii="Times New Roman" w:hAnsi="Times New Roman" w:cs="Times New Roman"/>
        </w:rPr>
      </w:pPr>
      <w:r w:rsidRPr="00AB6C3E">
        <w:rPr>
          <w:rFonts w:ascii="Times New Roman" w:hAnsi="Times New Roman" w:cs="Times New Roman"/>
        </w:rPr>
        <w:t xml:space="preserve">Con riferimento invece all’aggiornamento al termine </w:t>
      </w:r>
      <w:r w:rsidR="00C01812" w:rsidRPr="00AB6C3E">
        <w:rPr>
          <w:rFonts w:ascii="Times New Roman" w:hAnsi="Times New Roman" w:cs="Times New Roman"/>
        </w:rPr>
        <w:t>dell’affidamento</w:t>
      </w:r>
      <w:r w:rsidR="00E651E6" w:rsidRPr="00AB6C3E">
        <w:rPr>
          <w:rFonts w:ascii="Times New Roman" w:hAnsi="Times New Roman" w:cs="Times New Roman"/>
        </w:rPr>
        <w:t xml:space="preserve"> il </w:t>
      </w:r>
      <w:r w:rsidR="00E10D6B" w:rsidRPr="00AB6C3E">
        <w:rPr>
          <w:rFonts w:ascii="Times New Roman" w:hAnsi="Times New Roman" w:cs="Times New Roman"/>
        </w:rPr>
        <w:t xml:space="preserve">Piano </w:t>
      </w:r>
      <w:r w:rsidR="00E651E6" w:rsidRPr="00AB6C3E">
        <w:rPr>
          <w:rFonts w:ascii="Times New Roman" w:hAnsi="Times New Roman" w:cs="Times New Roman"/>
        </w:rPr>
        <w:t>deve riportare i</w:t>
      </w:r>
      <w:r w:rsidRPr="00AB6C3E">
        <w:rPr>
          <w:rFonts w:ascii="Times New Roman" w:hAnsi="Times New Roman" w:cs="Times New Roman"/>
        </w:rPr>
        <w:t xml:space="preserve"> dati di ricavo e costo, nonché la valorizzazione del capitale investito netto a consuntivo per tutto il periodo </w:t>
      </w:r>
      <w:proofErr w:type="spellStart"/>
      <w:r w:rsidRPr="00AB6C3E">
        <w:rPr>
          <w:rFonts w:ascii="Times New Roman" w:hAnsi="Times New Roman" w:cs="Times New Roman"/>
        </w:rPr>
        <w:t>concessorio</w:t>
      </w:r>
      <w:proofErr w:type="spellEnd"/>
      <w:r w:rsidRPr="00AB6C3E">
        <w:rPr>
          <w:rFonts w:ascii="Times New Roman" w:hAnsi="Times New Roman" w:cs="Times New Roman"/>
        </w:rPr>
        <w:t>.</w:t>
      </w:r>
    </w:p>
    <w:p w14:paraId="1A998E5D" w14:textId="2BB8EE8A" w:rsidR="00067C50" w:rsidRPr="00AB6C3E" w:rsidRDefault="00067C50" w:rsidP="00067C50">
      <w:pPr>
        <w:spacing w:line="288" w:lineRule="auto"/>
        <w:jc w:val="both"/>
        <w:rPr>
          <w:rFonts w:ascii="Times New Roman" w:hAnsi="Times New Roman" w:cs="Times New Roman"/>
        </w:rPr>
      </w:pPr>
      <w:r w:rsidRPr="00AB6C3E">
        <w:rPr>
          <w:rFonts w:ascii="Times New Roman" w:hAnsi="Times New Roman" w:cs="Times New Roman"/>
        </w:rPr>
        <w:t>Il P</w:t>
      </w:r>
      <w:r w:rsidR="00E10D6B" w:rsidRPr="00AB6C3E">
        <w:rPr>
          <w:rFonts w:ascii="Times New Roman" w:hAnsi="Times New Roman" w:cs="Times New Roman"/>
        </w:rPr>
        <w:t>iano</w:t>
      </w:r>
      <w:r w:rsidRPr="00AB6C3E">
        <w:rPr>
          <w:rFonts w:ascii="Times New Roman" w:hAnsi="Times New Roman" w:cs="Times New Roman"/>
        </w:rPr>
        <w:t xml:space="preserve"> presentato deve essere coerente con le rendicontazioni annuali fornite ai sensi della Misura 4 e predisposte sulla base delle regole di cui al precedente paragrafo</w:t>
      </w:r>
      <w:r w:rsidR="000F5852" w:rsidRPr="00AB6C3E">
        <w:rPr>
          <w:rFonts w:ascii="Times New Roman" w:hAnsi="Times New Roman" w:cs="Times New Roman"/>
        </w:rPr>
        <w:t xml:space="preserve"> con riferimento alle poste economiche e patrimoniali precisando inoltre che non è ascrivibile a credito oggetto di remunerazione l’eventuale esposizione creditoria nei confronti di Regione Siciliana connessa al termine “posticipato” dei pagamenti.</w:t>
      </w:r>
      <w:r w:rsidR="00E10D6B" w:rsidRPr="00AB6C3E">
        <w:rPr>
          <w:rFonts w:ascii="Times New Roman" w:hAnsi="Times New Roman" w:cs="Times New Roman"/>
        </w:rPr>
        <w:t xml:space="preserve"> Nel Piano</w:t>
      </w:r>
      <w:r w:rsidR="00C15C29" w:rsidRPr="00AB6C3E">
        <w:rPr>
          <w:rFonts w:ascii="Times New Roman" w:hAnsi="Times New Roman" w:cs="Times New Roman"/>
        </w:rPr>
        <w:t xml:space="preserve"> da presentarsi si dovrà fornire esplicita evidenza, tramite voci contabili separate, delle </w:t>
      </w:r>
      <w:r w:rsidR="00C15C29" w:rsidRPr="0070329D">
        <w:rPr>
          <w:rFonts w:ascii="Times New Roman" w:hAnsi="Times New Roman" w:cs="Times New Roman"/>
        </w:rPr>
        <w:t xml:space="preserve">penali o delle </w:t>
      </w:r>
      <w:proofErr w:type="spellStart"/>
      <w:r w:rsidR="00C15C29" w:rsidRPr="0070329D">
        <w:rPr>
          <w:rFonts w:ascii="Times New Roman" w:hAnsi="Times New Roman" w:cs="Times New Roman"/>
        </w:rPr>
        <w:t>premialità</w:t>
      </w:r>
      <w:proofErr w:type="spellEnd"/>
      <w:r w:rsidR="00C15C29" w:rsidRPr="0070329D">
        <w:rPr>
          <w:rFonts w:ascii="Times New Roman" w:hAnsi="Times New Roman" w:cs="Times New Roman"/>
        </w:rPr>
        <w:t xml:space="preserve"> ricevute ai sensi di quanto disposto dal contratto di servizio</w:t>
      </w:r>
      <w:r w:rsidR="00293D7B" w:rsidRPr="0070329D">
        <w:rPr>
          <w:rFonts w:ascii="Times New Roman" w:hAnsi="Times New Roman" w:cs="Times New Roman"/>
        </w:rPr>
        <w:t>, nonché dei contributi pubblici e privati eventualmente ricevuti anche sotto forma di credito di imposta o per specifici investimenti.</w:t>
      </w:r>
    </w:p>
    <w:p w14:paraId="6FE40578" w14:textId="5AFA71AB" w:rsidR="000F5852" w:rsidRPr="00AB6C3E" w:rsidRDefault="000F5852" w:rsidP="00067C50">
      <w:pPr>
        <w:spacing w:line="288" w:lineRule="auto"/>
        <w:jc w:val="both"/>
        <w:rPr>
          <w:rFonts w:ascii="Times New Roman" w:hAnsi="Times New Roman" w:cs="Times New Roman"/>
        </w:rPr>
      </w:pPr>
      <w:r w:rsidRPr="00AB6C3E">
        <w:rPr>
          <w:rFonts w:ascii="Times New Roman" w:hAnsi="Times New Roman" w:cs="Times New Roman"/>
        </w:rPr>
        <w:t xml:space="preserve">Il </w:t>
      </w:r>
      <w:r w:rsidR="00E10D6B" w:rsidRPr="00AB6C3E">
        <w:rPr>
          <w:rFonts w:ascii="Times New Roman" w:hAnsi="Times New Roman" w:cs="Times New Roman"/>
        </w:rPr>
        <w:t xml:space="preserve">Piano </w:t>
      </w:r>
      <w:r w:rsidRPr="00AB6C3E">
        <w:rPr>
          <w:rFonts w:ascii="Times New Roman" w:hAnsi="Times New Roman" w:cs="Times New Roman"/>
        </w:rPr>
        <w:t xml:space="preserve">deve essere presentato fornendo apposita documentazione relativa ai costi dichiarati ed indicati nel medesimo evidenziando, in apposita relazione di accompagnamento, quali variazioni di costo o di ricavo o di capitale investito siano attribuibili ad eventi </w:t>
      </w:r>
      <w:r w:rsidR="00E651E6" w:rsidRPr="00AB6C3E">
        <w:rPr>
          <w:rFonts w:ascii="Times New Roman" w:hAnsi="Times New Roman" w:cs="Times New Roman"/>
        </w:rPr>
        <w:t>diretti</w:t>
      </w:r>
      <w:r w:rsidRPr="00AB6C3E">
        <w:rPr>
          <w:rFonts w:ascii="Times New Roman" w:hAnsi="Times New Roman" w:cs="Times New Roman"/>
        </w:rPr>
        <w:t xml:space="preserve"> al gestore o alla </w:t>
      </w:r>
      <w:r w:rsidR="00C01812" w:rsidRPr="00AB6C3E">
        <w:rPr>
          <w:rFonts w:ascii="Times New Roman" w:hAnsi="Times New Roman" w:cs="Times New Roman"/>
        </w:rPr>
        <w:t>Regione</w:t>
      </w:r>
      <w:r w:rsidRPr="00AB6C3E">
        <w:rPr>
          <w:rFonts w:ascii="Times New Roman" w:hAnsi="Times New Roman" w:cs="Times New Roman"/>
        </w:rPr>
        <w:t xml:space="preserve"> sulla base dell’attribuzione dei rischi </w:t>
      </w:r>
      <w:r w:rsidR="00E651E6" w:rsidRPr="00AB6C3E">
        <w:rPr>
          <w:rFonts w:ascii="Times New Roman" w:hAnsi="Times New Roman" w:cs="Times New Roman"/>
        </w:rPr>
        <w:t xml:space="preserve">(Allegato </w:t>
      </w:r>
      <w:r w:rsidR="00AB6C3E">
        <w:rPr>
          <w:rFonts w:ascii="Times New Roman" w:hAnsi="Times New Roman" w:cs="Times New Roman"/>
        </w:rPr>
        <w:t>4</w:t>
      </w:r>
      <w:r w:rsidR="0045603C" w:rsidRPr="00AB6C3E">
        <w:rPr>
          <w:rFonts w:ascii="Times New Roman" w:hAnsi="Times New Roman" w:cs="Times New Roman"/>
        </w:rPr>
        <w:t>.3</w:t>
      </w:r>
      <w:r w:rsidR="00E651E6" w:rsidRPr="00AB6C3E">
        <w:rPr>
          <w:rFonts w:ascii="Times New Roman" w:hAnsi="Times New Roman" w:cs="Times New Roman"/>
        </w:rPr>
        <w:t xml:space="preserve">) </w:t>
      </w:r>
      <w:r w:rsidRPr="00AB6C3E">
        <w:rPr>
          <w:rFonts w:ascii="Times New Roman" w:hAnsi="Times New Roman" w:cs="Times New Roman"/>
        </w:rPr>
        <w:t>definita in sede contrattuale.</w:t>
      </w:r>
    </w:p>
    <w:p w14:paraId="377847A2" w14:textId="64BFD52A" w:rsidR="00C15C29" w:rsidRPr="00AB6C3E" w:rsidRDefault="000F5852" w:rsidP="00067C50">
      <w:pPr>
        <w:spacing w:line="288" w:lineRule="auto"/>
        <w:jc w:val="both"/>
        <w:rPr>
          <w:rFonts w:ascii="Times New Roman" w:hAnsi="Times New Roman" w:cs="Times New Roman"/>
        </w:rPr>
      </w:pPr>
      <w:r w:rsidRPr="00AB6C3E">
        <w:rPr>
          <w:rFonts w:ascii="Times New Roman" w:hAnsi="Times New Roman" w:cs="Times New Roman"/>
        </w:rPr>
        <w:t xml:space="preserve">Nella relazione </w:t>
      </w:r>
      <w:r w:rsidR="00E651E6" w:rsidRPr="00AB6C3E">
        <w:rPr>
          <w:rFonts w:ascii="Times New Roman" w:hAnsi="Times New Roman" w:cs="Times New Roman"/>
        </w:rPr>
        <w:t>di accompagnamento dovrà essere</w:t>
      </w:r>
      <w:r w:rsidRPr="00AB6C3E">
        <w:rPr>
          <w:rFonts w:ascii="Times New Roman" w:hAnsi="Times New Roman" w:cs="Times New Roman"/>
        </w:rPr>
        <w:t xml:space="preserve"> conseguentemente definita</w:t>
      </w:r>
      <w:r w:rsidR="00C15C29" w:rsidRPr="00AB6C3E">
        <w:rPr>
          <w:rFonts w:ascii="Times New Roman" w:hAnsi="Times New Roman" w:cs="Times New Roman"/>
        </w:rPr>
        <w:t xml:space="preserve"> una proposta relativa all’eventuale rideterminazione delle condizioni di equilibrio del P</w:t>
      </w:r>
      <w:r w:rsidR="00E10D6B" w:rsidRPr="00AB6C3E">
        <w:rPr>
          <w:rFonts w:ascii="Times New Roman" w:hAnsi="Times New Roman" w:cs="Times New Roman"/>
        </w:rPr>
        <w:t xml:space="preserve">iano </w:t>
      </w:r>
      <w:r w:rsidR="00C15C29" w:rsidRPr="00AB6C3E">
        <w:rPr>
          <w:rFonts w:ascii="Times New Roman" w:hAnsi="Times New Roman" w:cs="Times New Roman"/>
        </w:rPr>
        <w:t>E</w:t>
      </w:r>
      <w:r w:rsidR="00E10D6B" w:rsidRPr="00AB6C3E">
        <w:rPr>
          <w:rFonts w:ascii="Times New Roman" w:hAnsi="Times New Roman" w:cs="Times New Roman"/>
        </w:rPr>
        <w:t xml:space="preserve">conomico e </w:t>
      </w:r>
      <w:r w:rsidR="00C15C29" w:rsidRPr="00AB6C3E">
        <w:rPr>
          <w:rFonts w:ascii="Times New Roman" w:hAnsi="Times New Roman" w:cs="Times New Roman"/>
        </w:rPr>
        <w:t>F</w:t>
      </w:r>
      <w:r w:rsidR="00E10D6B" w:rsidRPr="00AB6C3E">
        <w:rPr>
          <w:rFonts w:ascii="Times New Roman" w:hAnsi="Times New Roman" w:cs="Times New Roman"/>
        </w:rPr>
        <w:t>inanziario</w:t>
      </w:r>
      <w:r w:rsidR="00C15C29" w:rsidRPr="00AB6C3E">
        <w:rPr>
          <w:rFonts w:ascii="Times New Roman" w:hAnsi="Times New Roman" w:cs="Times New Roman"/>
        </w:rPr>
        <w:t xml:space="preserve">, da intendersi come ritorno ad un rendimento, in arco </w:t>
      </w:r>
      <w:proofErr w:type="spellStart"/>
      <w:r w:rsidR="00C15C29" w:rsidRPr="00AB6C3E">
        <w:rPr>
          <w:rFonts w:ascii="Times New Roman" w:hAnsi="Times New Roman" w:cs="Times New Roman"/>
        </w:rPr>
        <w:t>concessorio</w:t>
      </w:r>
      <w:proofErr w:type="spellEnd"/>
      <w:r w:rsidR="00C15C29" w:rsidRPr="00AB6C3E">
        <w:rPr>
          <w:rFonts w:ascii="Times New Roman" w:hAnsi="Times New Roman" w:cs="Times New Roman"/>
        </w:rPr>
        <w:t>, coerente con il WACC alla base dell’affidamento.</w:t>
      </w:r>
    </w:p>
    <w:p w14:paraId="6A219226" w14:textId="6EC27283" w:rsidR="001714B0" w:rsidRPr="00AB6C3E" w:rsidRDefault="007111BC" w:rsidP="00067C50">
      <w:pPr>
        <w:spacing w:line="288" w:lineRule="auto"/>
        <w:jc w:val="both"/>
        <w:rPr>
          <w:rFonts w:ascii="Times New Roman" w:hAnsi="Times New Roman" w:cs="Times New Roman"/>
        </w:rPr>
      </w:pPr>
      <w:r w:rsidRPr="00AB6C3E">
        <w:rPr>
          <w:rFonts w:ascii="Times New Roman" w:hAnsi="Times New Roman" w:cs="Times New Roman"/>
        </w:rPr>
        <w:t>A seguito della ricezione del P</w:t>
      </w:r>
      <w:r w:rsidR="00E10D6B" w:rsidRPr="00AB6C3E">
        <w:rPr>
          <w:rFonts w:ascii="Times New Roman" w:hAnsi="Times New Roman" w:cs="Times New Roman"/>
        </w:rPr>
        <w:t>iano</w:t>
      </w:r>
      <w:r w:rsidRPr="00AB6C3E">
        <w:rPr>
          <w:rFonts w:ascii="Times New Roman" w:hAnsi="Times New Roman" w:cs="Times New Roman"/>
        </w:rPr>
        <w:t xml:space="preserve">, la </w:t>
      </w:r>
      <w:r w:rsidR="00C01812" w:rsidRPr="00AB6C3E">
        <w:rPr>
          <w:rFonts w:ascii="Times New Roman" w:hAnsi="Times New Roman" w:cs="Times New Roman"/>
        </w:rPr>
        <w:t>Regione</w:t>
      </w:r>
      <w:r w:rsidRPr="00AB6C3E">
        <w:rPr>
          <w:rFonts w:ascii="Times New Roman" w:hAnsi="Times New Roman" w:cs="Times New Roman"/>
        </w:rPr>
        <w:t xml:space="preserve">, indipendentemente dallo stato di potenziale sovra o sotto compensazione, </w:t>
      </w:r>
      <w:r w:rsidRPr="00AB6C3E">
        <w:rPr>
          <w:rFonts w:ascii="Times New Roman" w:hAnsi="Times New Roman" w:cs="Times New Roman"/>
          <w:u w:val="single"/>
        </w:rPr>
        <w:t xml:space="preserve">verificherà i ricavi e i costi rendicontati, depurandoli dai </w:t>
      </w:r>
      <w:r w:rsidR="00592B81" w:rsidRPr="00AB6C3E">
        <w:rPr>
          <w:rFonts w:ascii="Times New Roman" w:hAnsi="Times New Roman" w:cs="Times New Roman"/>
          <w:u w:val="single"/>
        </w:rPr>
        <w:t xml:space="preserve">costi connessi ai </w:t>
      </w:r>
      <w:r w:rsidRPr="00AB6C3E">
        <w:rPr>
          <w:rFonts w:ascii="Times New Roman" w:hAnsi="Times New Roman" w:cs="Times New Roman"/>
          <w:u w:val="single"/>
        </w:rPr>
        <w:t>rischi non assunti dalla medesima</w:t>
      </w:r>
      <w:r w:rsidRPr="00AB6C3E">
        <w:rPr>
          <w:rFonts w:ascii="Times New Roman" w:hAnsi="Times New Roman" w:cs="Times New Roman"/>
        </w:rPr>
        <w:t>. In particolare, l</w:t>
      </w:r>
      <w:r w:rsidR="001714B0" w:rsidRPr="00AB6C3E">
        <w:rPr>
          <w:rFonts w:ascii="Times New Roman" w:hAnsi="Times New Roman" w:cs="Times New Roman"/>
        </w:rPr>
        <w:t xml:space="preserve">a </w:t>
      </w:r>
      <w:r w:rsidR="00C01812" w:rsidRPr="00AB6C3E">
        <w:rPr>
          <w:rFonts w:ascii="Times New Roman" w:hAnsi="Times New Roman" w:cs="Times New Roman"/>
        </w:rPr>
        <w:t>Regione</w:t>
      </w:r>
      <w:r w:rsidR="001714B0" w:rsidRPr="00AB6C3E">
        <w:rPr>
          <w:rFonts w:ascii="Times New Roman" w:hAnsi="Times New Roman" w:cs="Times New Roman"/>
        </w:rPr>
        <w:t xml:space="preserve"> verificherà puntualmente gli eventi connessi all’andamento dei costi e ricavi rendicontati considerando</w:t>
      </w:r>
      <w:r w:rsidR="00E74470" w:rsidRPr="00AB6C3E">
        <w:rPr>
          <w:rFonts w:ascii="Times New Roman" w:hAnsi="Times New Roman" w:cs="Times New Roman"/>
        </w:rPr>
        <w:t xml:space="preserve"> la matrice rischi</w:t>
      </w:r>
      <w:r w:rsidR="00E651E6" w:rsidRPr="00AB6C3E">
        <w:rPr>
          <w:rFonts w:ascii="Times New Roman" w:hAnsi="Times New Roman" w:cs="Times New Roman"/>
        </w:rPr>
        <w:t xml:space="preserve"> (Allegato </w:t>
      </w:r>
      <w:r w:rsidR="0045603C" w:rsidRPr="00AB6C3E">
        <w:rPr>
          <w:rFonts w:ascii="Times New Roman" w:hAnsi="Times New Roman" w:cs="Times New Roman"/>
        </w:rPr>
        <w:t>C.3</w:t>
      </w:r>
      <w:r w:rsidR="00E651E6" w:rsidRPr="00AB6C3E">
        <w:rPr>
          <w:rFonts w:ascii="Times New Roman" w:hAnsi="Times New Roman" w:cs="Times New Roman"/>
        </w:rPr>
        <w:t>)</w:t>
      </w:r>
      <w:r w:rsidR="00E74470" w:rsidRPr="00AB6C3E">
        <w:rPr>
          <w:rFonts w:ascii="Times New Roman" w:hAnsi="Times New Roman" w:cs="Times New Roman"/>
        </w:rPr>
        <w:t xml:space="preserve"> facente parte degli atti di affidamento e considerando nello specifico come</w:t>
      </w:r>
      <w:r w:rsidR="00E34CBB" w:rsidRPr="00AB6C3E">
        <w:rPr>
          <w:rFonts w:ascii="Times New Roman" w:hAnsi="Times New Roman" w:cs="Times New Roman"/>
        </w:rPr>
        <w:t xml:space="preserve"> i costi e i ricavi saranno riconosciuti, in caso di variazione in </w:t>
      </w:r>
      <w:proofErr w:type="spellStart"/>
      <w:r w:rsidR="00E34CBB" w:rsidRPr="00AB6C3E">
        <w:rPr>
          <w:rFonts w:ascii="Times New Roman" w:hAnsi="Times New Roman" w:cs="Times New Roman"/>
        </w:rPr>
        <w:t>pejus</w:t>
      </w:r>
      <w:proofErr w:type="spellEnd"/>
      <w:r w:rsidR="00E34CBB" w:rsidRPr="00AB6C3E">
        <w:rPr>
          <w:rFonts w:ascii="Times New Roman" w:hAnsi="Times New Roman" w:cs="Times New Roman"/>
        </w:rPr>
        <w:t xml:space="preserve"> per </w:t>
      </w:r>
      <w:r w:rsidR="0045603C" w:rsidRPr="00AB6C3E">
        <w:rPr>
          <w:rFonts w:ascii="Times New Roman" w:hAnsi="Times New Roman" w:cs="Times New Roman"/>
        </w:rPr>
        <w:t xml:space="preserve">la </w:t>
      </w:r>
      <w:r w:rsidR="00E34CBB" w:rsidRPr="00AB6C3E">
        <w:rPr>
          <w:rFonts w:ascii="Times New Roman" w:hAnsi="Times New Roman" w:cs="Times New Roman"/>
        </w:rPr>
        <w:t>Regione dei dati di ricavo, costo operativo e capitale investito, come di seguito indicato</w:t>
      </w:r>
      <w:r w:rsidR="001714B0" w:rsidRPr="00AB6C3E">
        <w:rPr>
          <w:rFonts w:ascii="Times New Roman" w:hAnsi="Times New Roman" w:cs="Times New Roman"/>
        </w:rPr>
        <w:t>:</w:t>
      </w:r>
    </w:p>
    <w:p w14:paraId="4629D14C" w14:textId="0CBC892D" w:rsidR="00293D7B" w:rsidRPr="00AB6C3E" w:rsidRDefault="00E10D6B" w:rsidP="00170EBC">
      <w:pPr>
        <w:pStyle w:val="Paragrafoelenco"/>
        <w:numPr>
          <w:ilvl w:val="0"/>
          <w:numId w:val="13"/>
        </w:numPr>
        <w:spacing w:line="288" w:lineRule="auto"/>
        <w:jc w:val="both"/>
        <w:rPr>
          <w:rFonts w:ascii="Times New Roman" w:hAnsi="Times New Roman" w:cs="Times New Roman"/>
        </w:rPr>
      </w:pPr>
      <w:proofErr w:type="gramStart"/>
      <w:r w:rsidRPr="00AB6C3E">
        <w:rPr>
          <w:rFonts w:ascii="Times New Roman" w:hAnsi="Times New Roman" w:cs="Times New Roman"/>
          <w:u w:val="single"/>
        </w:rPr>
        <w:t>c</w:t>
      </w:r>
      <w:r w:rsidR="00293D7B" w:rsidRPr="00AB6C3E">
        <w:rPr>
          <w:rFonts w:ascii="Times New Roman" w:hAnsi="Times New Roman" w:cs="Times New Roman"/>
          <w:u w:val="single"/>
        </w:rPr>
        <w:t>on</w:t>
      </w:r>
      <w:proofErr w:type="gramEnd"/>
      <w:r w:rsidR="00293D7B" w:rsidRPr="00AB6C3E">
        <w:rPr>
          <w:rFonts w:ascii="Times New Roman" w:hAnsi="Times New Roman" w:cs="Times New Roman"/>
          <w:u w:val="single"/>
        </w:rPr>
        <w:t xml:space="preserve"> riferimento all’andamento dei ricavi</w:t>
      </w:r>
      <w:r w:rsidR="00293D7B" w:rsidRPr="00AB6C3E">
        <w:rPr>
          <w:rFonts w:ascii="Times New Roman" w:hAnsi="Times New Roman" w:cs="Times New Roman"/>
        </w:rPr>
        <w:t xml:space="preserve"> la </w:t>
      </w:r>
      <w:r w:rsidR="00C01812" w:rsidRPr="00AB6C3E">
        <w:rPr>
          <w:rFonts w:ascii="Times New Roman" w:hAnsi="Times New Roman" w:cs="Times New Roman"/>
        </w:rPr>
        <w:t>Regione</w:t>
      </w:r>
      <w:r w:rsidR="00293D7B" w:rsidRPr="00AB6C3E">
        <w:rPr>
          <w:rFonts w:ascii="Times New Roman" w:hAnsi="Times New Roman" w:cs="Times New Roman"/>
        </w:rPr>
        <w:t xml:space="preserve"> si assume quale unico rischio le </w:t>
      </w:r>
      <w:r w:rsidR="00293D7B" w:rsidRPr="00AB6C3E">
        <w:rPr>
          <w:rFonts w:ascii="Times New Roman" w:hAnsi="Times New Roman" w:cs="Times New Roman"/>
          <w:u w:val="single"/>
        </w:rPr>
        <w:t>diminuzioni dei ricavi che superino il 5% (cinque percento) del totale annuo</w:t>
      </w:r>
      <w:r w:rsidR="00790AF9" w:rsidRPr="00AB6C3E">
        <w:rPr>
          <w:rFonts w:ascii="Times New Roman" w:hAnsi="Times New Roman" w:cs="Times New Roman"/>
        </w:rPr>
        <w:t xml:space="preserve"> dei ricavi inerenti al lotto</w:t>
      </w:r>
      <w:r w:rsidR="00170EBC" w:rsidRPr="00AB6C3E">
        <w:rPr>
          <w:rFonts w:ascii="Times New Roman" w:hAnsi="Times New Roman" w:cs="Times New Roman"/>
        </w:rPr>
        <w:t xml:space="preserve"> </w:t>
      </w:r>
      <w:r w:rsidR="00790AF9" w:rsidRPr="00AB6C3E">
        <w:rPr>
          <w:rFonts w:ascii="Times New Roman" w:hAnsi="Times New Roman" w:cs="Times New Roman"/>
        </w:rPr>
        <w:t xml:space="preserve">di affidamento </w:t>
      </w:r>
      <w:r w:rsidR="00170EBC" w:rsidRPr="00AB6C3E">
        <w:rPr>
          <w:rFonts w:ascii="Times New Roman" w:hAnsi="Times New Roman" w:cs="Times New Roman"/>
        </w:rPr>
        <w:t>che dovranno essere puntualmente descritti e giustificati</w:t>
      </w:r>
      <w:r w:rsidR="007111BC" w:rsidRPr="00AB6C3E">
        <w:rPr>
          <w:rFonts w:ascii="Times New Roman" w:hAnsi="Times New Roman" w:cs="Times New Roman"/>
        </w:rPr>
        <w:t>, rispetto ai quali il gestore deve comunque aver fornito idonea comunicazione esplicativa in corso di contratto;</w:t>
      </w:r>
      <w:r w:rsidR="00293D7B" w:rsidRPr="00AB6C3E">
        <w:rPr>
          <w:rFonts w:ascii="Times New Roman" w:hAnsi="Times New Roman" w:cs="Times New Roman"/>
        </w:rPr>
        <w:t xml:space="preserve">   </w:t>
      </w:r>
    </w:p>
    <w:p w14:paraId="76CFB194" w14:textId="16DDD038" w:rsidR="001714B0" w:rsidRPr="00AB6C3E" w:rsidRDefault="00170EBC" w:rsidP="00E74470">
      <w:pPr>
        <w:pStyle w:val="Paragrafoelenco"/>
        <w:numPr>
          <w:ilvl w:val="0"/>
          <w:numId w:val="13"/>
        </w:numPr>
        <w:spacing w:line="288" w:lineRule="auto"/>
        <w:jc w:val="both"/>
        <w:rPr>
          <w:rFonts w:ascii="Times New Roman" w:hAnsi="Times New Roman" w:cs="Times New Roman"/>
        </w:rPr>
      </w:pPr>
      <w:proofErr w:type="gramStart"/>
      <w:r w:rsidRPr="00AB6C3E">
        <w:rPr>
          <w:rFonts w:ascii="Times New Roman" w:hAnsi="Times New Roman" w:cs="Times New Roman"/>
          <w:u w:val="single"/>
        </w:rPr>
        <w:t>c</w:t>
      </w:r>
      <w:r w:rsidR="00E74470" w:rsidRPr="00AB6C3E">
        <w:rPr>
          <w:rFonts w:ascii="Times New Roman" w:hAnsi="Times New Roman" w:cs="Times New Roman"/>
          <w:u w:val="single"/>
        </w:rPr>
        <w:t>on</w:t>
      </w:r>
      <w:proofErr w:type="gramEnd"/>
      <w:r w:rsidR="00E74470" w:rsidRPr="00AB6C3E">
        <w:rPr>
          <w:rFonts w:ascii="Times New Roman" w:hAnsi="Times New Roman" w:cs="Times New Roman"/>
          <w:u w:val="single"/>
        </w:rPr>
        <w:t xml:space="preserve"> riferimento al costo del personale</w:t>
      </w:r>
      <w:r w:rsidR="00E74470" w:rsidRPr="00AB6C3E">
        <w:rPr>
          <w:rFonts w:ascii="Times New Roman" w:hAnsi="Times New Roman" w:cs="Times New Roman"/>
        </w:rPr>
        <w:t xml:space="preserve">, la </w:t>
      </w:r>
      <w:r w:rsidR="00137559" w:rsidRPr="00AB6C3E">
        <w:rPr>
          <w:rFonts w:ascii="Times New Roman" w:hAnsi="Times New Roman" w:cs="Times New Roman"/>
        </w:rPr>
        <w:t xml:space="preserve">Regione </w:t>
      </w:r>
      <w:r w:rsidRPr="00AB6C3E">
        <w:rPr>
          <w:rFonts w:ascii="Times New Roman" w:hAnsi="Times New Roman" w:cs="Times New Roman"/>
        </w:rPr>
        <w:t xml:space="preserve">Siciliana </w:t>
      </w:r>
      <w:r w:rsidR="00E74470" w:rsidRPr="00AB6C3E">
        <w:rPr>
          <w:rFonts w:ascii="Times New Roman" w:hAnsi="Times New Roman" w:cs="Times New Roman"/>
        </w:rPr>
        <w:t xml:space="preserve">si assume il solo rischio connesso </w:t>
      </w:r>
      <w:r w:rsidR="008D5636" w:rsidRPr="00AB6C3E">
        <w:rPr>
          <w:rFonts w:ascii="Times New Roman" w:hAnsi="Times New Roman" w:cs="Times New Roman"/>
        </w:rPr>
        <w:t xml:space="preserve">agli </w:t>
      </w:r>
      <w:r w:rsidR="008D5636" w:rsidRPr="00AB6C3E">
        <w:rPr>
          <w:rFonts w:ascii="Times New Roman" w:hAnsi="Times New Roman" w:cs="Times New Roman"/>
          <w:u w:val="single"/>
        </w:rPr>
        <w:t>aumenti legati alla contrattazione collettiva di livello nazionale</w:t>
      </w:r>
      <w:r w:rsidR="008D5636" w:rsidRPr="00AB6C3E">
        <w:rPr>
          <w:rFonts w:ascii="Times New Roman" w:hAnsi="Times New Roman" w:cs="Times New Roman"/>
        </w:rPr>
        <w:t xml:space="preserve"> rimanendo in capo al concessionario l’onere legato ad aumenti p</w:t>
      </w:r>
      <w:r w:rsidR="00592B81" w:rsidRPr="00AB6C3E">
        <w:rPr>
          <w:rFonts w:ascii="Times New Roman" w:hAnsi="Times New Roman" w:cs="Times New Roman"/>
        </w:rPr>
        <w:t>er la contrattazione di</w:t>
      </w:r>
      <w:r w:rsidR="008D5636" w:rsidRPr="00AB6C3E">
        <w:rPr>
          <w:rFonts w:ascii="Times New Roman" w:hAnsi="Times New Roman" w:cs="Times New Roman"/>
        </w:rPr>
        <w:t xml:space="preserve"> secondo livello così come per aumenti legati a scatti di anzianità, aumenti, premi o altro non definito in sede di contrattazione nazionale</w:t>
      </w:r>
      <w:r w:rsidR="006F06C4" w:rsidRPr="00AB6C3E">
        <w:rPr>
          <w:rFonts w:ascii="Times New Roman" w:hAnsi="Times New Roman" w:cs="Times New Roman"/>
        </w:rPr>
        <w:t>. Parimenti, con riferimento al numero di addetti, rimane a carico del gestore l’utilizzo di un numero maggiore di personale navigante, fatti salvi i casi di forza maggiore</w:t>
      </w:r>
      <w:r w:rsidR="007F7C31" w:rsidRPr="00AB6C3E">
        <w:rPr>
          <w:rFonts w:ascii="Times New Roman" w:hAnsi="Times New Roman" w:cs="Times New Roman"/>
        </w:rPr>
        <w:t xml:space="preserve"> intesi come eventi al di fuori del campo della ragionevole prevedibilità che hanno comportato l’impiego di personale aggiuntivo, i quali dovranno </w:t>
      </w:r>
      <w:r w:rsidR="007F7C31" w:rsidRPr="00AB6C3E">
        <w:rPr>
          <w:rFonts w:ascii="Times New Roman" w:hAnsi="Times New Roman" w:cs="Times New Roman"/>
        </w:rPr>
        <w:lastRenderedPageBreak/>
        <w:t xml:space="preserve">essere puntualmente descritti e giustificati e rispetto ai quali il gestore deve comunque aver fornito idonea comunicazione </w:t>
      </w:r>
      <w:r w:rsidR="007111BC" w:rsidRPr="00AB6C3E">
        <w:rPr>
          <w:rFonts w:ascii="Times New Roman" w:hAnsi="Times New Roman" w:cs="Times New Roman"/>
        </w:rPr>
        <w:t xml:space="preserve">esplicativa </w:t>
      </w:r>
      <w:r w:rsidR="007F7C31" w:rsidRPr="00AB6C3E">
        <w:rPr>
          <w:rFonts w:ascii="Times New Roman" w:hAnsi="Times New Roman" w:cs="Times New Roman"/>
        </w:rPr>
        <w:t>in corso di contratto</w:t>
      </w:r>
      <w:r w:rsidR="008D5636" w:rsidRPr="00AB6C3E">
        <w:rPr>
          <w:rFonts w:ascii="Times New Roman" w:hAnsi="Times New Roman" w:cs="Times New Roman"/>
        </w:rPr>
        <w:t>;</w:t>
      </w:r>
    </w:p>
    <w:p w14:paraId="5FECAA15" w14:textId="7B1CC598" w:rsidR="007F7C31" w:rsidRPr="00AB6C3E" w:rsidRDefault="00170EBC" w:rsidP="007F7C31">
      <w:pPr>
        <w:pStyle w:val="Paragrafoelenco"/>
        <w:numPr>
          <w:ilvl w:val="0"/>
          <w:numId w:val="13"/>
        </w:numPr>
        <w:spacing w:line="288" w:lineRule="auto"/>
        <w:jc w:val="both"/>
        <w:rPr>
          <w:rFonts w:ascii="Times New Roman" w:hAnsi="Times New Roman" w:cs="Times New Roman"/>
        </w:rPr>
      </w:pPr>
      <w:r w:rsidRPr="00AB6C3E">
        <w:rPr>
          <w:rFonts w:ascii="Times New Roman" w:hAnsi="Times New Roman" w:cs="Times New Roman"/>
          <w:u w:val="single"/>
        </w:rPr>
        <w:t>c</w:t>
      </w:r>
      <w:r w:rsidR="008D5636" w:rsidRPr="00AB6C3E">
        <w:rPr>
          <w:rFonts w:ascii="Times New Roman" w:hAnsi="Times New Roman" w:cs="Times New Roman"/>
          <w:u w:val="single"/>
        </w:rPr>
        <w:t>on riferimen</w:t>
      </w:r>
      <w:r w:rsidR="00137559" w:rsidRPr="00AB6C3E">
        <w:rPr>
          <w:rFonts w:ascii="Times New Roman" w:hAnsi="Times New Roman" w:cs="Times New Roman"/>
          <w:u w:val="single"/>
        </w:rPr>
        <w:t>to al costo del carburante</w:t>
      </w:r>
      <w:r w:rsidR="00137559" w:rsidRPr="00AB6C3E">
        <w:rPr>
          <w:rFonts w:ascii="Times New Roman" w:hAnsi="Times New Roman" w:cs="Times New Roman"/>
        </w:rPr>
        <w:t>, la Regione</w:t>
      </w:r>
      <w:r w:rsidR="008D5636" w:rsidRPr="00AB6C3E">
        <w:rPr>
          <w:rFonts w:ascii="Times New Roman" w:hAnsi="Times New Roman" w:cs="Times New Roman"/>
        </w:rPr>
        <w:t xml:space="preserve"> </w:t>
      </w:r>
      <w:r w:rsidRPr="00AB6C3E">
        <w:rPr>
          <w:rFonts w:ascii="Times New Roman" w:hAnsi="Times New Roman" w:cs="Times New Roman"/>
        </w:rPr>
        <w:t xml:space="preserve">Siciliana </w:t>
      </w:r>
      <w:r w:rsidR="008D5636" w:rsidRPr="00AB6C3E">
        <w:rPr>
          <w:rFonts w:ascii="Times New Roman" w:hAnsi="Times New Roman" w:cs="Times New Roman"/>
        </w:rPr>
        <w:t>si assume il solo rischio connesso all’</w:t>
      </w:r>
      <w:r w:rsidR="008D5636" w:rsidRPr="00AB6C3E">
        <w:rPr>
          <w:rFonts w:ascii="Times New Roman" w:hAnsi="Times New Roman" w:cs="Times New Roman"/>
          <w:u w:val="single"/>
        </w:rPr>
        <w:t xml:space="preserve">andamento dell’indice </w:t>
      </w:r>
      <w:proofErr w:type="spellStart"/>
      <w:r w:rsidR="007F7C31" w:rsidRPr="00AB6C3E">
        <w:rPr>
          <w:rFonts w:ascii="Times New Roman" w:hAnsi="Times New Roman" w:cs="Times New Roman"/>
          <w:u w:val="single"/>
        </w:rPr>
        <w:t>Platt’s</w:t>
      </w:r>
      <w:proofErr w:type="spellEnd"/>
      <w:r w:rsidR="00FF207D" w:rsidRPr="00AB6C3E">
        <w:rPr>
          <w:rFonts w:ascii="Times New Roman" w:hAnsi="Times New Roman" w:cs="Times New Roman"/>
        </w:rPr>
        <w:t xml:space="preserve"> </w:t>
      </w:r>
      <w:r w:rsidR="008D5636" w:rsidRPr="00AB6C3E">
        <w:rPr>
          <w:rFonts w:ascii="Times New Roman" w:hAnsi="Times New Roman" w:cs="Times New Roman"/>
        </w:rPr>
        <w:t>con riferimento a</w:t>
      </w:r>
      <w:r w:rsidR="00824CE9" w:rsidRPr="00AB6C3E">
        <w:rPr>
          <w:rFonts w:ascii="Times New Roman" w:hAnsi="Times New Roman" w:cs="Times New Roman"/>
        </w:rPr>
        <w:t xml:space="preserve">l prezzo inserito in offerta dall’aggiudicatario, mentre rimane in capo </w:t>
      </w:r>
      <w:r w:rsidR="006F06C4" w:rsidRPr="00AB6C3E">
        <w:rPr>
          <w:rFonts w:ascii="Times New Roman" w:hAnsi="Times New Roman" w:cs="Times New Roman"/>
        </w:rPr>
        <w:t xml:space="preserve">al medesimo la </w:t>
      </w:r>
      <w:r w:rsidR="007F7C31" w:rsidRPr="00AB6C3E">
        <w:rPr>
          <w:rFonts w:ascii="Times New Roman" w:hAnsi="Times New Roman" w:cs="Times New Roman"/>
        </w:rPr>
        <w:t>quantità di carburante e l’effettivo prezzo pagato per il medesimo, fatti salvi i casi di forza maggiore intesi come eventi al di fuori del campo della ragionevole prevedibilità che hanno comportato l’impiego di quantità di carburante aggiuntivo, i quali dovranno essere puntualmente descritti e giustificati e rispetto ai quali il gestore deve comunque aver fornito idonea comunicazione</w:t>
      </w:r>
      <w:r w:rsidR="007111BC" w:rsidRPr="00AB6C3E">
        <w:rPr>
          <w:rFonts w:ascii="Times New Roman" w:hAnsi="Times New Roman" w:cs="Times New Roman"/>
        </w:rPr>
        <w:t xml:space="preserve"> esplicativa</w:t>
      </w:r>
      <w:r w:rsidR="007F7C31" w:rsidRPr="00AB6C3E">
        <w:rPr>
          <w:rFonts w:ascii="Times New Roman" w:hAnsi="Times New Roman" w:cs="Times New Roman"/>
        </w:rPr>
        <w:t xml:space="preserve"> in corso di contratto;</w:t>
      </w:r>
    </w:p>
    <w:p w14:paraId="0CD36790" w14:textId="444C67EB" w:rsidR="008D5636" w:rsidRPr="00AB6C3E" w:rsidRDefault="00170EBC" w:rsidP="00C669F9">
      <w:pPr>
        <w:pStyle w:val="Paragrafoelenco"/>
        <w:numPr>
          <w:ilvl w:val="0"/>
          <w:numId w:val="13"/>
        </w:numPr>
        <w:spacing w:line="288" w:lineRule="auto"/>
        <w:jc w:val="both"/>
        <w:rPr>
          <w:rFonts w:ascii="Times New Roman" w:hAnsi="Times New Roman" w:cs="Times New Roman"/>
        </w:rPr>
      </w:pPr>
      <w:r w:rsidRPr="00AB6C3E">
        <w:rPr>
          <w:rFonts w:ascii="Times New Roman" w:hAnsi="Times New Roman" w:cs="Times New Roman"/>
          <w:u w:val="single"/>
        </w:rPr>
        <w:t>c</w:t>
      </w:r>
      <w:r w:rsidR="007F7C31" w:rsidRPr="00AB6C3E">
        <w:rPr>
          <w:rFonts w:ascii="Times New Roman" w:hAnsi="Times New Roman" w:cs="Times New Roman"/>
          <w:u w:val="single"/>
        </w:rPr>
        <w:t>on riferimento agli altri costi operativi</w:t>
      </w:r>
      <w:r w:rsidR="007F7C31" w:rsidRPr="00AB6C3E">
        <w:rPr>
          <w:rFonts w:ascii="Times New Roman" w:hAnsi="Times New Roman" w:cs="Times New Roman"/>
        </w:rPr>
        <w:t xml:space="preserve"> la </w:t>
      </w:r>
      <w:r w:rsidR="00137559" w:rsidRPr="00AB6C3E">
        <w:rPr>
          <w:rFonts w:ascii="Times New Roman" w:hAnsi="Times New Roman" w:cs="Times New Roman"/>
        </w:rPr>
        <w:t>Regione</w:t>
      </w:r>
      <w:r w:rsidR="007F7C31" w:rsidRPr="00AB6C3E">
        <w:rPr>
          <w:rFonts w:ascii="Times New Roman" w:hAnsi="Times New Roman" w:cs="Times New Roman"/>
        </w:rPr>
        <w:t xml:space="preserve"> </w:t>
      </w:r>
      <w:r w:rsidRPr="00AB6C3E">
        <w:rPr>
          <w:rFonts w:ascii="Times New Roman" w:hAnsi="Times New Roman" w:cs="Times New Roman"/>
        </w:rPr>
        <w:t xml:space="preserve">Siciliana </w:t>
      </w:r>
      <w:r w:rsidR="007F7C31" w:rsidRPr="00AB6C3E">
        <w:rPr>
          <w:rFonts w:ascii="Times New Roman" w:hAnsi="Times New Roman" w:cs="Times New Roman"/>
        </w:rPr>
        <w:t>si assume il solo rischio dell’</w:t>
      </w:r>
      <w:r w:rsidR="007F7C31" w:rsidRPr="00AB6C3E">
        <w:rPr>
          <w:rFonts w:ascii="Times New Roman" w:hAnsi="Times New Roman" w:cs="Times New Roman"/>
          <w:u w:val="single"/>
        </w:rPr>
        <w:t>aumento dell’inflazione</w:t>
      </w:r>
      <w:r w:rsidR="007F7C31" w:rsidRPr="00AB6C3E">
        <w:rPr>
          <w:rFonts w:ascii="Times New Roman" w:hAnsi="Times New Roman" w:cs="Times New Roman"/>
        </w:rPr>
        <w:t>, sulla base della variazione annuale dell’</w:t>
      </w:r>
      <w:r w:rsidR="007F7C31" w:rsidRPr="00AB6C3E">
        <w:rPr>
          <w:rFonts w:ascii="Times New Roman" w:hAnsi="Times New Roman" w:cs="Times New Roman"/>
          <w:u w:val="single"/>
        </w:rPr>
        <w:t>indice ISTAT FOI senza Tabacchi – Provincia di Palermo</w:t>
      </w:r>
      <w:r w:rsidR="007F7C31" w:rsidRPr="00AB6C3E">
        <w:rPr>
          <w:rFonts w:ascii="Times New Roman" w:hAnsi="Times New Roman" w:cs="Times New Roman"/>
        </w:rPr>
        <w:t xml:space="preserve">, come pubblicato periodicamente dall’ISTAT, fatti salvi i casi di forza maggiore intesi come eventi al di fuori del campo della ragionevole prevedibilità che hanno comportato costi maggiori dell’andamento inflattivo (ad esempio un aumento dei costi di manutenzione legati ad eventi metereologici che hanno danneggiato una specifica nave), i quali dovranno essere puntualmente descritti e giustificati e rispetto ai quali il gestore deve comunque aver fornito idonea comunicazione </w:t>
      </w:r>
      <w:r w:rsidR="007111BC" w:rsidRPr="00AB6C3E">
        <w:rPr>
          <w:rFonts w:ascii="Times New Roman" w:hAnsi="Times New Roman" w:cs="Times New Roman"/>
        </w:rPr>
        <w:t xml:space="preserve">esplicativa </w:t>
      </w:r>
      <w:r w:rsidR="007F7C31" w:rsidRPr="00AB6C3E">
        <w:rPr>
          <w:rFonts w:ascii="Times New Roman" w:hAnsi="Times New Roman" w:cs="Times New Roman"/>
        </w:rPr>
        <w:t>in corso di contratto;</w:t>
      </w:r>
    </w:p>
    <w:p w14:paraId="71CED01A" w14:textId="6C9209A7" w:rsidR="005E6C8F" w:rsidRPr="00AB6C3E" w:rsidRDefault="00170EBC" w:rsidP="005E6C8F">
      <w:pPr>
        <w:pStyle w:val="Paragrafoelenco"/>
        <w:numPr>
          <w:ilvl w:val="0"/>
          <w:numId w:val="13"/>
        </w:numPr>
        <w:spacing w:line="288" w:lineRule="auto"/>
        <w:jc w:val="both"/>
        <w:rPr>
          <w:rFonts w:ascii="Times New Roman" w:hAnsi="Times New Roman" w:cs="Times New Roman"/>
        </w:rPr>
      </w:pPr>
      <w:proofErr w:type="gramStart"/>
      <w:r w:rsidRPr="00AB6C3E">
        <w:rPr>
          <w:rFonts w:ascii="Times New Roman" w:hAnsi="Times New Roman" w:cs="Times New Roman"/>
        </w:rPr>
        <w:t>a</w:t>
      </w:r>
      <w:r w:rsidR="005E6C8F" w:rsidRPr="00AB6C3E">
        <w:rPr>
          <w:rFonts w:ascii="Times New Roman" w:hAnsi="Times New Roman" w:cs="Times New Roman"/>
        </w:rPr>
        <w:t>nche</w:t>
      </w:r>
      <w:proofErr w:type="gramEnd"/>
      <w:r w:rsidR="005E6C8F" w:rsidRPr="00AB6C3E">
        <w:rPr>
          <w:rFonts w:ascii="Times New Roman" w:hAnsi="Times New Roman" w:cs="Times New Roman"/>
        </w:rPr>
        <w:t xml:space="preserve"> al fine </w:t>
      </w:r>
      <w:r w:rsidR="00F37EF2" w:rsidRPr="00AB6C3E">
        <w:rPr>
          <w:rFonts w:ascii="Times New Roman" w:hAnsi="Times New Roman" w:cs="Times New Roman"/>
        </w:rPr>
        <w:t>di non vanificare la possibile</w:t>
      </w:r>
      <w:r w:rsidR="005E6C8F" w:rsidRPr="00AB6C3E">
        <w:rPr>
          <w:rFonts w:ascii="Times New Roman" w:hAnsi="Times New Roman" w:cs="Times New Roman"/>
        </w:rPr>
        <w:t xml:space="preserve"> attività imprenditoriale del concessionario, quest’ultimo può presentare in corso di gestione, progetti finalizzati alla promozione del servizio e all’aumento dei controlli sulla regolarità dei titoli di viaggio dei viaggiatori che indichino puntualmente il target di aumento di ricavi previsto e i costi aggiuntivi correlati, ovviamente di importo inferiore ai ricavi attesi. In caso di approvazione del progetto da parte della </w:t>
      </w:r>
      <w:r w:rsidR="00F37EF2" w:rsidRPr="00AB6C3E">
        <w:rPr>
          <w:rFonts w:ascii="Times New Roman" w:hAnsi="Times New Roman" w:cs="Times New Roman"/>
        </w:rPr>
        <w:t>Regione Siciliana</w:t>
      </w:r>
      <w:r w:rsidR="005E6C8F" w:rsidRPr="00AB6C3E">
        <w:rPr>
          <w:rFonts w:ascii="Times New Roman" w:hAnsi="Times New Roman" w:cs="Times New Roman"/>
        </w:rPr>
        <w:t>, in sede di verifica dell’equilibrio economico e finanziario tali costi saranno riconosciuti proporzionalmente al raggiungimento del target di ricavi previsto dal progetto medesimo</w:t>
      </w:r>
      <w:r w:rsidR="00F37EF2" w:rsidRPr="00AB6C3E">
        <w:rPr>
          <w:rFonts w:ascii="Times New Roman" w:hAnsi="Times New Roman" w:cs="Times New Roman"/>
        </w:rPr>
        <w:t>;</w:t>
      </w:r>
    </w:p>
    <w:p w14:paraId="7DFE2D49" w14:textId="18CA9C90" w:rsidR="007F7C31" w:rsidRPr="00AB6C3E" w:rsidRDefault="00F37EF2" w:rsidP="00C669F9">
      <w:pPr>
        <w:pStyle w:val="Paragrafoelenco"/>
        <w:numPr>
          <w:ilvl w:val="0"/>
          <w:numId w:val="13"/>
        </w:numPr>
        <w:spacing w:line="288" w:lineRule="auto"/>
        <w:jc w:val="both"/>
        <w:rPr>
          <w:rFonts w:ascii="Times New Roman" w:hAnsi="Times New Roman" w:cs="Times New Roman"/>
        </w:rPr>
      </w:pPr>
      <w:proofErr w:type="gramStart"/>
      <w:r w:rsidRPr="00AB6C3E">
        <w:rPr>
          <w:rFonts w:ascii="Times New Roman" w:hAnsi="Times New Roman" w:cs="Times New Roman"/>
          <w:u w:val="single"/>
        </w:rPr>
        <w:t>c</w:t>
      </w:r>
      <w:r w:rsidR="007F7C31" w:rsidRPr="00AB6C3E">
        <w:rPr>
          <w:rFonts w:ascii="Times New Roman" w:hAnsi="Times New Roman" w:cs="Times New Roman"/>
          <w:u w:val="single"/>
        </w:rPr>
        <w:t>on</w:t>
      </w:r>
      <w:proofErr w:type="gramEnd"/>
      <w:r w:rsidR="007F7C31" w:rsidRPr="00AB6C3E">
        <w:rPr>
          <w:rFonts w:ascii="Times New Roman" w:hAnsi="Times New Roman" w:cs="Times New Roman"/>
          <w:u w:val="single"/>
        </w:rPr>
        <w:t xml:space="preserve"> riferimento al capitale investito</w:t>
      </w:r>
      <w:r w:rsidR="007F7C31" w:rsidRPr="00AB6C3E">
        <w:rPr>
          <w:rFonts w:ascii="Times New Roman" w:hAnsi="Times New Roman" w:cs="Times New Roman"/>
        </w:rPr>
        <w:t xml:space="preserve"> oggetto di remunerazione </w:t>
      </w:r>
      <w:r w:rsidR="00137559" w:rsidRPr="00AB6C3E">
        <w:rPr>
          <w:rFonts w:ascii="Times New Roman" w:hAnsi="Times New Roman" w:cs="Times New Roman"/>
        </w:rPr>
        <w:t>la Regione</w:t>
      </w:r>
      <w:r w:rsidR="007F7C31" w:rsidRPr="00AB6C3E">
        <w:rPr>
          <w:rFonts w:ascii="Times New Roman" w:hAnsi="Times New Roman" w:cs="Times New Roman"/>
        </w:rPr>
        <w:t xml:space="preserve"> </w:t>
      </w:r>
      <w:r w:rsidRPr="00AB6C3E">
        <w:rPr>
          <w:rFonts w:ascii="Times New Roman" w:hAnsi="Times New Roman" w:cs="Times New Roman"/>
        </w:rPr>
        <w:t xml:space="preserve">Siciliana </w:t>
      </w:r>
      <w:r w:rsidR="007F7C31" w:rsidRPr="00AB6C3E">
        <w:rPr>
          <w:rFonts w:ascii="Times New Roman" w:hAnsi="Times New Roman" w:cs="Times New Roman"/>
        </w:rPr>
        <w:t xml:space="preserve">si assume unicamente il rischio connesso </w:t>
      </w:r>
      <w:r w:rsidR="00293D7B" w:rsidRPr="00AB6C3E">
        <w:rPr>
          <w:rFonts w:ascii="Times New Roman" w:hAnsi="Times New Roman" w:cs="Times New Roman"/>
        </w:rPr>
        <w:t xml:space="preserve">a nuovi investimenti o a manutenzioni straordinarie preventivamente comunicate e la cui valorizzazione in sede di riequilibrio sia stata preventivamente autorizzata con atto formale ed esplicita in seguito a specifica richiesta dell’affidatario. </w:t>
      </w:r>
    </w:p>
    <w:p w14:paraId="266E910D" w14:textId="2FE50D57" w:rsidR="00272300" w:rsidRPr="00AB6C3E" w:rsidRDefault="00272300" w:rsidP="00272300">
      <w:pPr>
        <w:spacing w:line="288" w:lineRule="auto"/>
        <w:jc w:val="both"/>
        <w:rPr>
          <w:rFonts w:ascii="Times New Roman" w:hAnsi="Times New Roman" w:cs="Times New Roman"/>
        </w:rPr>
      </w:pPr>
      <w:r w:rsidRPr="00AB6C3E">
        <w:rPr>
          <w:rFonts w:ascii="Times New Roman" w:hAnsi="Times New Roman" w:cs="Times New Roman"/>
        </w:rPr>
        <w:t>Si esplicita che, ai sensi del disposto della Misura 18.5, il recupero delle somme in caso in cui dalle rendicontazioni dei due periodi regolati emerga uno stato di sovra compensazione è comunque dovuto, intendendo in questo senso che le riduzioni delle singole voci di costo o del capitale investito e gli aumenti di ricavi non verranno assogget</w:t>
      </w:r>
      <w:r w:rsidR="00560D8D" w:rsidRPr="00AB6C3E">
        <w:rPr>
          <w:rFonts w:ascii="Times New Roman" w:hAnsi="Times New Roman" w:cs="Times New Roman"/>
        </w:rPr>
        <w:t>t</w:t>
      </w:r>
      <w:r w:rsidRPr="00AB6C3E">
        <w:rPr>
          <w:rFonts w:ascii="Times New Roman" w:hAnsi="Times New Roman" w:cs="Times New Roman"/>
        </w:rPr>
        <w:t xml:space="preserve">ati a verifica in merito all’attribuzione dei rischi fra le parti, ma assunti in sede di riequilibrio, al netto dell’attribuzione di </w:t>
      </w:r>
      <w:proofErr w:type="spellStart"/>
      <w:r w:rsidRPr="0070329D">
        <w:rPr>
          <w:rFonts w:ascii="Times New Roman" w:hAnsi="Times New Roman" w:cs="Times New Roman"/>
        </w:rPr>
        <w:t>premialità</w:t>
      </w:r>
      <w:proofErr w:type="spellEnd"/>
      <w:r w:rsidRPr="0070329D">
        <w:rPr>
          <w:rFonts w:ascii="Times New Roman" w:hAnsi="Times New Roman" w:cs="Times New Roman"/>
        </w:rPr>
        <w:t xml:space="preserve"> d</w:t>
      </w:r>
      <w:r w:rsidRPr="00AB6C3E">
        <w:rPr>
          <w:rFonts w:ascii="Times New Roman" w:hAnsi="Times New Roman" w:cs="Times New Roman"/>
        </w:rPr>
        <w:t xml:space="preserve">i cui </w:t>
      </w:r>
      <w:r w:rsidR="00560D8D" w:rsidRPr="00AB6C3E">
        <w:rPr>
          <w:rFonts w:ascii="Times New Roman" w:hAnsi="Times New Roman" w:cs="Times New Roman"/>
        </w:rPr>
        <w:t>alla Misura 19 dell’Allegato 1 alla Deliberazione 22/2019 dell’ART</w:t>
      </w:r>
      <w:r w:rsidR="00F37EF2" w:rsidRPr="00AB6C3E">
        <w:rPr>
          <w:rFonts w:ascii="Times New Roman" w:hAnsi="Times New Roman" w:cs="Times New Roman"/>
        </w:rPr>
        <w:t xml:space="preserve"> e descritto successivamente</w:t>
      </w:r>
      <w:r w:rsidRPr="00AB6C3E">
        <w:rPr>
          <w:rFonts w:ascii="Times New Roman" w:hAnsi="Times New Roman" w:cs="Times New Roman"/>
        </w:rPr>
        <w:t>.</w:t>
      </w:r>
    </w:p>
    <w:p w14:paraId="2AF32506" w14:textId="7040A3B0" w:rsidR="00560D8D" w:rsidRPr="00AB6C3E" w:rsidRDefault="00560D8D" w:rsidP="00272300">
      <w:pPr>
        <w:spacing w:line="288" w:lineRule="auto"/>
        <w:jc w:val="both"/>
        <w:rPr>
          <w:rFonts w:ascii="Times New Roman" w:hAnsi="Times New Roman" w:cs="Times New Roman"/>
        </w:rPr>
      </w:pPr>
      <w:r w:rsidRPr="00AB6C3E">
        <w:rPr>
          <w:rFonts w:ascii="Times New Roman" w:hAnsi="Times New Roman" w:cs="Times New Roman"/>
        </w:rPr>
        <w:t xml:space="preserve">In </w:t>
      </w:r>
      <w:r w:rsidR="00272300" w:rsidRPr="00AB6C3E">
        <w:rPr>
          <w:rFonts w:ascii="Times New Roman" w:hAnsi="Times New Roman" w:cs="Times New Roman"/>
        </w:rPr>
        <w:t xml:space="preserve">caso di </w:t>
      </w:r>
      <w:r w:rsidR="00272300" w:rsidRPr="00AB6C3E">
        <w:rPr>
          <w:rFonts w:ascii="Times New Roman" w:hAnsi="Times New Roman" w:cs="Times New Roman"/>
          <w:u w:val="single"/>
        </w:rPr>
        <w:t>aumento dei ricavi e/o diminuzione dei costi</w:t>
      </w:r>
      <w:r w:rsidR="00272300" w:rsidRPr="00AB6C3E">
        <w:rPr>
          <w:rFonts w:ascii="Times New Roman" w:hAnsi="Times New Roman" w:cs="Times New Roman"/>
        </w:rPr>
        <w:t xml:space="preserve"> essi </w:t>
      </w:r>
      <w:r w:rsidRPr="00AB6C3E">
        <w:rPr>
          <w:rFonts w:ascii="Times New Roman" w:hAnsi="Times New Roman" w:cs="Times New Roman"/>
        </w:rPr>
        <w:t>verranno “condivisi” da amministrazione e gestore sulla base della seguente formula:</w:t>
      </w:r>
    </w:p>
    <w:p w14:paraId="7272F8E9" w14:textId="177DE996" w:rsidR="00272300" w:rsidRPr="00AB6C3E" w:rsidRDefault="00473F0D" w:rsidP="00272300">
      <w:pPr>
        <w:spacing w:line="288" w:lineRule="auto"/>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Eff</m:t>
            </m:r>
          </m:e>
          <m:sub>
            <m:r>
              <w:rPr>
                <w:rFonts w:ascii="Cambria Math" w:hAnsi="Cambria Math" w:cs="Times New Roman"/>
              </w:rPr>
              <m:t>Gt</m:t>
            </m:r>
          </m:sub>
        </m:sSub>
        <m:r>
          <w:rPr>
            <w:rFonts w:ascii="Cambria Math"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1</m:t>
            </m:r>
          </m:sub>
          <m:sup>
            <m:r>
              <w:rPr>
                <w:rFonts w:ascii="Cambria Math" w:eastAsiaTheme="minorEastAsia" w:hAnsi="Cambria Math" w:cs="Times New Roman"/>
              </w:rPr>
              <m:t>n</m:t>
            </m:r>
          </m:sup>
          <m:e>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n</m:t>
                </m:r>
              </m:sub>
            </m:sSub>
            <m:r>
              <w:rPr>
                <w:rFonts w:ascii="Cambria Math" w:eastAsiaTheme="minorEastAsia" w:hAnsi="Cambria Math" w:cs="Times New Roman"/>
              </w:rPr>
              <m:t>*(</m:t>
            </m:r>
            <m:sSub>
              <m:sSubPr>
                <m:ctrlPr>
                  <w:rPr>
                    <w:rFonts w:ascii="Cambria Math" w:eastAsiaTheme="minorEastAsia" w:hAnsi="Cambria Math" w:cs="Times New Roman"/>
                    <w:i/>
                  </w:rPr>
                </m:ctrlPr>
              </m:sSubPr>
              <m:e>
                <m:sSup>
                  <m:sSupPr>
                    <m:ctrlPr>
                      <w:rPr>
                        <w:rFonts w:ascii="Cambria Math" w:eastAsiaTheme="minorEastAsia" w:hAnsi="Cambria Math" w:cs="Times New Roman"/>
                        <w:i/>
                      </w:rPr>
                    </m:ctrlPr>
                  </m:sSupPr>
                  <m:e>
                    <m:r>
                      <w:rPr>
                        <w:rFonts w:ascii="Cambria Math" w:eastAsiaTheme="minorEastAsia" w:hAnsi="Cambria Math" w:cs="Times New Roman"/>
                      </w:rPr>
                      <m:t>∆</m:t>
                    </m:r>
                  </m:e>
                  <m:sup>
                    <m:r>
                      <w:rPr>
                        <w:rFonts w:ascii="Cambria Math" w:eastAsiaTheme="minorEastAsia" w:hAnsi="Cambria Math" w:cs="Times New Roman"/>
                      </w:rPr>
                      <m:t>+</m:t>
                    </m:r>
                  </m:sup>
                </m:sSup>
                <m:r>
                  <w:rPr>
                    <w:rFonts w:ascii="Cambria Math" w:eastAsiaTheme="minorEastAsia" w:hAnsi="Cambria Math" w:cs="Times New Roman"/>
                  </w:rPr>
                  <m:t>R</m:t>
                </m:r>
              </m:e>
              <m:sub>
                <m:r>
                  <w:rPr>
                    <w:rFonts w:ascii="Cambria Math" w:eastAsiaTheme="minorEastAsia" w:hAnsi="Cambria Math" w:cs="Times New Roman"/>
                  </w:rPr>
                  <m:t>n</m:t>
                </m:r>
              </m:sub>
            </m:sSub>
            <m:r>
              <w:rPr>
                <w:rFonts w:ascii="Cambria Math" w:eastAsiaTheme="minorEastAsia" w:hAnsi="Cambria Math" w:cs="Times New Roman"/>
              </w:rPr>
              <m:t>+</m:t>
            </m:r>
            <m:sSub>
              <m:sSubPr>
                <m:ctrlPr>
                  <w:rPr>
                    <w:rFonts w:ascii="Cambria Math" w:eastAsiaTheme="minorEastAsia" w:hAnsi="Cambria Math" w:cs="Times New Roman"/>
                    <w:i/>
                  </w:rPr>
                </m:ctrlPr>
              </m:sSubPr>
              <m:e>
                <m:sSup>
                  <m:sSupPr>
                    <m:ctrlPr>
                      <w:rPr>
                        <w:rFonts w:ascii="Cambria Math" w:eastAsiaTheme="minorEastAsia" w:hAnsi="Cambria Math" w:cs="Times New Roman"/>
                        <w:i/>
                      </w:rPr>
                    </m:ctrlPr>
                  </m:sSupPr>
                  <m:e>
                    <m:r>
                      <w:rPr>
                        <w:rFonts w:ascii="Cambria Math" w:eastAsiaTheme="minorEastAsia" w:hAnsi="Cambria Math" w:cs="Times New Roman"/>
                      </w:rPr>
                      <m:t>∆</m:t>
                    </m:r>
                  </m:e>
                  <m:sup>
                    <m:r>
                      <w:rPr>
                        <w:rFonts w:ascii="Cambria Math" w:eastAsiaTheme="minorEastAsia" w:hAnsi="Cambria Math" w:cs="Times New Roman"/>
                      </w:rPr>
                      <m:t>-</m:t>
                    </m:r>
                  </m:sup>
                </m:sSup>
                <m:r>
                  <w:rPr>
                    <w:rFonts w:ascii="Cambria Math" w:eastAsiaTheme="minorEastAsia" w:hAnsi="Cambria Math" w:cs="Times New Roman"/>
                  </w:rPr>
                  <m:t>C</m:t>
                </m:r>
              </m:e>
              <m:sub>
                <m:r>
                  <w:rPr>
                    <w:rFonts w:ascii="Cambria Math" w:eastAsiaTheme="minorEastAsia" w:hAnsi="Cambria Math" w:cs="Times New Roman"/>
                  </w:rPr>
                  <m:t>n</m:t>
                </m:r>
              </m:sub>
            </m:sSub>
            <m:r>
              <w:rPr>
                <w:rFonts w:ascii="Cambria Math" w:eastAsiaTheme="minorEastAsia" w:hAnsi="Cambria Math" w:cs="Times New Roman"/>
              </w:rPr>
              <m:t>)</m:t>
            </m:r>
          </m:e>
        </m:nary>
      </m:oMath>
      <w:r w:rsidR="00560D8D" w:rsidRPr="00AB6C3E">
        <w:rPr>
          <w:rFonts w:ascii="Times New Roman" w:hAnsi="Times New Roman" w:cs="Times New Roman"/>
        </w:rPr>
        <w:t xml:space="preserve"> </w:t>
      </w:r>
    </w:p>
    <w:p w14:paraId="69503B4D" w14:textId="5B0C52F4" w:rsidR="00560D8D" w:rsidRPr="00AB6C3E" w:rsidRDefault="00266752" w:rsidP="00272300">
      <w:pPr>
        <w:spacing w:line="288" w:lineRule="auto"/>
        <w:jc w:val="both"/>
        <w:rPr>
          <w:rFonts w:ascii="Times New Roman" w:hAnsi="Times New Roman" w:cs="Times New Roman"/>
        </w:rPr>
      </w:pPr>
      <w:r w:rsidRPr="00AB6C3E">
        <w:rPr>
          <w:rFonts w:ascii="Times New Roman" w:hAnsi="Times New Roman" w:cs="Times New Roman"/>
        </w:rPr>
        <w:t>Dove:</w:t>
      </w:r>
    </w:p>
    <w:p w14:paraId="02D732D6" w14:textId="46965A4B" w:rsidR="00266752" w:rsidRPr="00AB6C3E" w:rsidRDefault="00473F0D" w:rsidP="00272300">
      <w:pPr>
        <w:spacing w:line="288" w:lineRule="auto"/>
        <w:jc w:val="both"/>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Eff</m:t>
            </m:r>
          </m:e>
          <m:sub>
            <m:r>
              <w:rPr>
                <w:rFonts w:ascii="Cambria Math" w:hAnsi="Cambria Math" w:cs="Times New Roman"/>
              </w:rPr>
              <m:t>Gt</m:t>
            </m:r>
          </m:sub>
        </m:sSub>
      </m:oMath>
      <w:r w:rsidR="00266752" w:rsidRPr="00AB6C3E">
        <w:rPr>
          <w:rFonts w:ascii="Times New Roman" w:eastAsiaTheme="minorEastAsia" w:hAnsi="Times New Roman" w:cs="Times New Roman"/>
        </w:rPr>
        <w:t xml:space="preserve"> </w:t>
      </w:r>
      <w:proofErr w:type="gramStart"/>
      <w:r w:rsidR="00266752" w:rsidRPr="00AB6C3E">
        <w:rPr>
          <w:rFonts w:ascii="Times New Roman" w:eastAsiaTheme="minorEastAsia" w:hAnsi="Times New Roman" w:cs="Times New Roman"/>
        </w:rPr>
        <w:t>è</w:t>
      </w:r>
      <w:proofErr w:type="gramEnd"/>
      <w:r w:rsidR="00266752" w:rsidRPr="00AB6C3E">
        <w:rPr>
          <w:rFonts w:ascii="Times New Roman" w:eastAsiaTheme="minorEastAsia" w:hAnsi="Times New Roman" w:cs="Times New Roman"/>
        </w:rPr>
        <w:t xml:space="preserve"> la quota espressa in Euro di </w:t>
      </w:r>
      <w:r w:rsidR="00266752" w:rsidRPr="00AB6C3E">
        <w:rPr>
          <w:rFonts w:ascii="Times New Roman" w:eastAsiaTheme="minorEastAsia" w:hAnsi="Times New Roman" w:cs="Times New Roman"/>
          <w:u w:val="single"/>
        </w:rPr>
        <w:t>efficienze gestionali</w:t>
      </w:r>
      <w:r w:rsidR="00266752" w:rsidRPr="00AB6C3E">
        <w:rPr>
          <w:rFonts w:ascii="Times New Roman" w:eastAsiaTheme="minorEastAsia" w:hAnsi="Times New Roman" w:cs="Times New Roman"/>
        </w:rPr>
        <w:t xml:space="preserve"> intese come </w:t>
      </w:r>
      <w:r w:rsidR="00266752" w:rsidRPr="00AB6C3E">
        <w:rPr>
          <w:rFonts w:ascii="Times New Roman" w:eastAsiaTheme="minorEastAsia" w:hAnsi="Times New Roman" w:cs="Times New Roman"/>
          <w:u w:val="single"/>
        </w:rPr>
        <w:t>aumento dei ricavi al netto della compensazione pubblica</w:t>
      </w:r>
      <w:r w:rsidR="00421AD5" w:rsidRPr="00AB6C3E">
        <w:rPr>
          <w:rFonts w:ascii="Times New Roman" w:eastAsiaTheme="minorEastAsia" w:hAnsi="Times New Roman" w:cs="Times New Roman"/>
        </w:rPr>
        <w:t xml:space="preserve"> (somma dei ricavi consuntivi da trasporto passeggeri, merci, veicoli, servizi di bordo, </w:t>
      </w:r>
      <w:r w:rsidR="00F37EF2" w:rsidRPr="00AB6C3E">
        <w:rPr>
          <w:rFonts w:ascii="Times New Roman" w:eastAsiaTheme="minorEastAsia" w:hAnsi="Times New Roman" w:cs="Times New Roman"/>
        </w:rPr>
        <w:t>n</w:t>
      </w:r>
      <w:r w:rsidR="00421AD5" w:rsidRPr="00AB6C3E">
        <w:rPr>
          <w:rFonts w:ascii="Times New Roman" w:eastAsiaTheme="minorEastAsia" w:hAnsi="Times New Roman" w:cs="Times New Roman"/>
        </w:rPr>
        <w:t>oleggi attivi naviglio e ricavi diversi)</w:t>
      </w:r>
      <w:r w:rsidR="00266752" w:rsidRPr="00AB6C3E">
        <w:rPr>
          <w:rFonts w:ascii="Times New Roman" w:eastAsiaTheme="minorEastAsia" w:hAnsi="Times New Roman" w:cs="Times New Roman"/>
        </w:rPr>
        <w:t xml:space="preserve"> e </w:t>
      </w:r>
      <w:r w:rsidR="00266752" w:rsidRPr="00AB6C3E">
        <w:rPr>
          <w:rFonts w:ascii="Times New Roman" w:eastAsiaTheme="minorEastAsia" w:hAnsi="Times New Roman" w:cs="Times New Roman"/>
          <w:u w:val="single"/>
        </w:rPr>
        <w:t>diminuzione di costi operativi</w:t>
      </w:r>
      <w:r w:rsidR="00266752" w:rsidRPr="00AB6C3E">
        <w:rPr>
          <w:rFonts w:ascii="Times New Roman" w:eastAsiaTheme="minorEastAsia" w:hAnsi="Times New Roman" w:cs="Times New Roman"/>
        </w:rPr>
        <w:t xml:space="preserve"> nel periodo </w:t>
      </w:r>
      <w:proofErr w:type="spellStart"/>
      <w:r w:rsidR="00266752" w:rsidRPr="00AB6C3E">
        <w:rPr>
          <w:rFonts w:ascii="Times New Roman" w:eastAsiaTheme="minorEastAsia" w:hAnsi="Times New Roman" w:cs="Times New Roman"/>
        </w:rPr>
        <w:t>regolatorio</w:t>
      </w:r>
      <w:proofErr w:type="spellEnd"/>
      <w:r w:rsidR="00266752" w:rsidRPr="00AB6C3E">
        <w:rPr>
          <w:rFonts w:ascii="Times New Roman" w:eastAsiaTheme="minorEastAsia" w:hAnsi="Times New Roman" w:cs="Times New Roman"/>
        </w:rPr>
        <w:t xml:space="preserve"> t (con t che può assumere valore 1 o 2) che non è sottoposta a riequilibrio e pertanto rimane in capo come </w:t>
      </w:r>
      <w:proofErr w:type="spellStart"/>
      <w:r w:rsidR="00266752" w:rsidRPr="00AB6C3E">
        <w:rPr>
          <w:rFonts w:ascii="Times New Roman" w:eastAsiaTheme="minorEastAsia" w:hAnsi="Times New Roman" w:cs="Times New Roman"/>
        </w:rPr>
        <w:t>premialità</w:t>
      </w:r>
      <w:proofErr w:type="spellEnd"/>
      <w:r w:rsidR="00266752" w:rsidRPr="00AB6C3E">
        <w:rPr>
          <w:rFonts w:ascii="Times New Roman" w:eastAsiaTheme="minorEastAsia" w:hAnsi="Times New Roman" w:cs="Times New Roman"/>
        </w:rPr>
        <w:t xml:space="preserve"> al gestore;</w:t>
      </w:r>
    </w:p>
    <w:p w14:paraId="4ABD4335" w14:textId="5BD34F72" w:rsidR="00266752" w:rsidRPr="00AB6C3E" w:rsidRDefault="00473F0D" w:rsidP="00272300">
      <w:pPr>
        <w:spacing w:line="288" w:lineRule="auto"/>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n</m:t>
            </m:r>
          </m:sub>
        </m:sSub>
      </m:oMath>
      <w:r w:rsidR="00266752" w:rsidRPr="00AB6C3E">
        <w:rPr>
          <w:rFonts w:ascii="Times New Roman" w:eastAsiaTheme="minorEastAsia" w:hAnsi="Times New Roman" w:cs="Times New Roman"/>
        </w:rPr>
        <w:t xml:space="preserve"> </w:t>
      </w:r>
      <w:proofErr w:type="gramStart"/>
      <w:r w:rsidR="00266752" w:rsidRPr="00AB6C3E">
        <w:rPr>
          <w:rFonts w:ascii="Times New Roman" w:eastAsiaTheme="minorEastAsia" w:hAnsi="Times New Roman" w:cs="Times New Roman"/>
        </w:rPr>
        <w:t>è</w:t>
      </w:r>
      <w:proofErr w:type="gramEnd"/>
      <w:r w:rsidR="00266752" w:rsidRPr="00AB6C3E">
        <w:rPr>
          <w:rFonts w:ascii="Times New Roman" w:eastAsiaTheme="minorEastAsia" w:hAnsi="Times New Roman" w:cs="Times New Roman"/>
        </w:rPr>
        <w:t xml:space="preserve"> l’indicatore di qualità sintetico per l’anno </w:t>
      </w:r>
      <w:r w:rsidR="00266752" w:rsidRPr="00AB6C3E">
        <w:rPr>
          <w:rFonts w:ascii="Times New Roman" w:eastAsiaTheme="minorEastAsia" w:hAnsi="Times New Roman" w:cs="Times New Roman"/>
          <w:i/>
          <w:iCs/>
        </w:rPr>
        <w:t>n</w:t>
      </w:r>
      <w:r w:rsidR="005F16E8" w:rsidRPr="00AB6C3E">
        <w:rPr>
          <w:rFonts w:ascii="Times New Roman" w:eastAsiaTheme="minorEastAsia" w:hAnsi="Times New Roman" w:cs="Times New Roman"/>
          <w:i/>
          <w:iCs/>
        </w:rPr>
        <w:t xml:space="preserve"> </w:t>
      </w:r>
      <w:r w:rsidR="005F16E8" w:rsidRPr="00AB6C3E">
        <w:rPr>
          <w:rFonts w:ascii="Times New Roman" w:eastAsiaTheme="minorEastAsia" w:hAnsi="Times New Roman" w:cs="Times New Roman"/>
        </w:rPr>
        <w:t xml:space="preserve">facente parte del periodo </w:t>
      </w:r>
      <w:proofErr w:type="spellStart"/>
      <w:r w:rsidR="005F16E8" w:rsidRPr="00AB6C3E">
        <w:rPr>
          <w:rFonts w:ascii="Times New Roman" w:eastAsiaTheme="minorEastAsia" w:hAnsi="Times New Roman" w:cs="Times New Roman"/>
        </w:rPr>
        <w:t>regolatorio</w:t>
      </w:r>
      <w:proofErr w:type="spellEnd"/>
      <w:r w:rsidR="005F16E8" w:rsidRPr="00AB6C3E">
        <w:rPr>
          <w:rFonts w:ascii="Times New Roman" w:eastAsiaTheme="minorEastAsia" w:hAnsi="Times New Roman" w:cs="Times New Roman"/>
        </w:rPr>
        <w:t xml:space="preserve"> t che </w:t>
      </w:r>
      <w:r w:rsidR="00F37EF2" w:rsidRPr="00AB6C3E">
        <w:rPr>
          <w:rFonts w:ascii="Times New Roman" w:eastAsiaTheme="minorEastAsia" w:hAnsi="Times New Roman" w:cs="Times New Roman"/>
        </w:rPr>
        <w:t>assume</w:t>
      </w:r>
      <w:r w:rsidR="005F16E8" w:rsidRPr="00AB6C3E">
        <w:rPr>
          <w:rFonts w:ascii="Times New Roman" w:eastAsiaTheme="minorEastAsia" w:hAnsi="Times New Roman" w:cs="Times New Roman"/>
        </w:rPr>
        <w:t xml:space="preserve"> valore </w:t>
      </w:r>
      <w:r w:rsidR="00F37EF2" w:rsidRPr="00AB6C3E">
        <w:rPr>
          <w:rFonts w:ascii="Times New Roman" w:eastAsiaTheme="minorEastAsia" w:hAnsi="Times New Roman" w:cs="Times New Roman"/>
        </w:rPr>
        <w:t xml:space="preserve">pari </w:t>
      </w:r>
      <w:r w:rsidR="005F16E8" w:rsidRPr="00AD2997">
        <w:rPr>
          <w:rFonts w:ascii="Times New Roman" w:eastAsiaTheme="minorEastAsia" w:hAnsi="Times New Roman" w:cs="Times New Roman"/>
        </w:rPr>
        <w:t>a 0,75</w:t>
      </w:r>
      <w:r w:rsidR="00F37EF2" w:rsidRPr="00AD2997">
        <w:rPr>
          <w:rFonts w:ascii="Times New Roman" w:eastAsiaTheme="minorEastAsia" w:hAnsi="Times New Roman" w:cs="Times New Roman"/>
        </w:rPr>
        <w:t>;</w:t>
      </w:r>
    </w:p>
    <w:p w14:paraId="453E2762" w14:textId="3100378A" w:rsidR="005F16E8" w:rsidRPr="00AB6C3E" w:rsidRDefault="00473F0D" w:rsidP="00272300">
      <w:pPr>
        <w:spacing w:line="288" w:lineRule="auto"/>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sSup>
              <m:sSupPr>
                <m:ctrlPr>
                  <w:rPr>
                    <w:rFonts w:ascii="Cambria Math" w:eastAsiaTheme="minorEastAsia" w:hAnsi="Cambria Math" w:cs="Times New Roman"/>
                    <w:i/>
                  </w:rPr>
                </m:ctrlPr>
              </m:sSupPr>
              <m:e>
                <m:r>
                  <w:rPr>
                    <w:rFonts w:ascii="Cambria Math" w:eastAsiaTheme="minorEastAsia" w:hAnsi="Cambria Math" w:cs="Times New Roman"/>
                  </w:rPr>
                  <m:t>∆</m:t>
                </m:r>
              </m:e>
              <m:sup>
                <m:r>
                  <w:rPr>
                    <w:rFonts w:ascii="Cambria Math" w:eastAsiaTheme="minorEastAsia" w:hAnsi="Cambria Math" w:cs="Times New Roman"/>
                  </w:rPr>
                  <m:t>+</m:t>
                </m:r>
              </m:sup>
            </m:sSup>
            <m:r>
              <w:rPr>
                <w:rFonts w:ascii="Cambria Math" w:eastAsiaTheme="minorEastAsia" w:hAnsi="Cambria Math" w:cs="Times New Roman"/>
              </w:rPr>
              <m:t>R</m:t>
            </m:r>
          </m:e>
          <m:sub>
            <m:r>
              <w:rPr>
                <w:rFonts w:ascii="Cambria Math" w:eastAsiaTheme="minorEastAsia" w:hAnsi="Cambria Math" w:cs="Times New Roman"/>
              </w:rPr>
              <m:t>n</m:t>
            </m:r>
          </m:sub>
        </m:sSub>
      </m:oMath>
      <w:r w:rsidR="005F16E8" w:rsidRPr="00AB6C3E">
        <w:rPr>
          <w:rFonts w:ascii="Times New Roman" w:eastAsiaTheme="minorEastAsia" w:hAnsi="Times New Roman" w:cs="Times New Roman"/>
        </w:rPr>
        <w:t xml:space="preserve"> </w:t>
      </w:r>
      <w:proofErr w:type="gramStart"/>
      <w:r w:rsidR="005F16E8" w:rsidRPr="00AB6C3E">
        <w:rPr>
          <w:rFonts w:ascii="Times New Roman" w:eastAsiaTheme="minorEastAsia" w:hAnsi="Times New Roman" w:cs="Times New Roman"/>
        </w:rPr>
        <w:t>è</w:t>
      </w:r>
      <w:proofErr w:type="gramEnd"/>
      <w:r w:rsidR="005F16E8" w:rsidRPr="00AB6C3E">
        <w:rPr>
          <w:rFonts w:ascii="Times New Roman" w:eastAsiaTheme="minorEastAsia" w:hAnsi="Times New Roman" w:cs="Times New Roman"/>
        </w:rPr>
        <w:t xml:space="preserve"> la differenza positiva della somma dei ricavi consuntivi da trasporto passeggeri, merci, veicoli, servizi di bordo, </w:t>
      </w:r>
      <w:r w:rsidR="00F37EF2" w:rsidRPr="00AB6C3E">
        <w:rPr>
          <w:rFonts w:ascii="Times New Roman" w:eastAsiaTheme="minorEastAsia" w:hAnsi="Times New Roman" w:cs="Times New Roman"/>
        </w:rPr>
        <w:t>n</w:t>
      </w:r>
      <w:r w:rsidR="005F16E8" w:rsidRPr="00AB6C3E">
        <w:rPr>
          <w:rFonts w:ascii="Times New Roman" w:eastAsiaTheme="minorEastAsia" w:hAnsi="Times New Roman" w:cs="Times New Roman"/>
        </w:rPr>
        <w:t>oleggi attivi naviglio e ricavi diversi</w:t>
      </w:r>
      <w:r w:rsidR="00421AD5" w:rsidRPr="00AB6C3E">
        <w:rPr>
          <w:rFonts w:ascii="Times New Roman" w:eastAsiaTheme="minorEastAsia" w:hAnsi="Times New Roman" w:cs="Times New Roman"/>
        </w:rPr>
        <w:t xml:space="preserve"> per l’anno n e quelli inseriti nel PEF per il medesimo anno. Ove tale differenza sia negativa tale indicatore assume valore 0;</w:t>
      </w:r>
    </w:p>
    <w:p w14:paraId="6A06EFE0" w14:textId="75D359E3" w:rsidR="00421AD5" w:rsidRPr="00AB6C3E" w:rsidRDefault="00473F0D" w:rsidP="00421AD5">
      <w:pPr>
        <w:spacing w:line="288" w:lineRule="auto"/>
        <w:jc w:val="both"/>
        <w:rPr>
          <w:rFonts w:ascii="Times New Roman" w:eastAsiaTheme="minorEastAsia" w:hAnsi="Times New Roman" w:cs="Times New Roman"/>
        </w:rPr>
      </w:pPr>
      <m:oMath>
        <m:sSub>
          <m:sSubPr>
            <m:ctrlPr>
              <w:rPr>
                <w:rFonts w:ascii="Cambria Math" w:eastAsiaTheme="minorEastAsia" w:hAnsi="Cambria Math" w:cs="Times New Roman"/>
                <w:i/>
              </w:rPr>
            </m:ctrlPr>
          </m:sSubPr>
          <m:e>
            <m:sSup>
              <m:sSupPr>
                <m:ctrlPr>
                  <w:rPr>
                    <w:rFonts w:ascii="Cambria Math" w:eastAsiaTheme="minorEastAsia" w:hAnsi="Cambria Math" w:cs="Times New Roman"/>
                    <w:i/>
                  </w:rPr>
                </m:ctrlPr>
              </m:sSupPr>
              <m:e>
                <m:r>
                  <w:rPr>
                    <w:rFonts w:ascii="Cambria Math" w:eastAsiaTheme="minorEastAsia" w:hAnsi="Cambria Math" w:cs="Times New Roman"/>
                  </w:rPr>
                  <m:t>∆</m:t>
                </m:r>
              </m:e>
              <m:sup>
                <m:r>
                  <w:rPr>
                    <w:rFonts w:ascii="Cambria Math" w:eastAsiaTheme="minorEastAsia" w:hAnsi="Cambria Math" w:cs="Times New Roman"/>
                  </w:rPr>
                  <m:t>-</m:t>
                </m:r>
              </m:sup>
            </m:sSup>
            <m:r>
              <w:rPr>
                <w:rFonts w:ascii="Cambria Math" w:eastAsiaTheme="minorEastAsia" w:hAnsi="Cambria Math" w:cs="Times New Roman"/>
              </w:rPr>
              <m:t>C</m:t>
            </m:r>
          </m:e>
          <m:sub>
            <m:r>
              <w:rPr>
                <w:rFonts w:ascii="Cambria Math" w:eastAsiaTheme="minorEastAsia" w:hAnsi="Cambria Math" w:cs="Times New Roman"/>
              </w:rPr>
              <m:t>n</m:t>
            </m:r>
          </m:sub>
        </m:sSub>
      </m:oMath>
      <w:r w:rsidR="00421AD5" w:rsidRPr="00AB6C3E">
        <w:rPr>
          <w:rFonts w:ascii="Times New Roman" w:eastAsiaTheme="minorEastAsia" w:hAnsi="Times New Roman" w:cs="Times New Roman"/>
        </w:rPr>
        <w:t xml:space="preserve"> </w:t>
      </w:r>
      <w:proofErr w:type="gramStart"/>
      <w:r w:rsidR="00421AD5" w:rsidRPr="00AB6C3E">
        <w:rPr>
          <w:rFonts w:ascii="Times New Roman" w:eastAsiaTheme="minorEastAsia" w:hAnsi="Times New Roman" w:cs="Times New Roman"/>
        </w:rPr>
        <w:t>è</w:t>
      </w:r>
      <w:proofErr w:type="gramEnd"/>
      <w:r w:rsidR="00421AD5" w:rsidRPr="00AB6C3E">
        <w:rPr>
          <w:rFonts w:ascii="Times New Roman" w:eastAsiaTheme="minorEastAsia" w:hAnsi="Times New Roman" w:cs="Times New Roman"/>
        </w:rPr>
        <w:t xml:space="preserve"> la differenza negativa della somma dei costi operativi consuntivi per l’anno n e quelli inseriti nel P</w:t>
      </w:r>
      <w:proofErr w:type="spellStart"/>
      <w:r w:rsidR="00F37EF2" w:rsidRPr="00AB6C3E">
        <w:rPr>
          <w:rFonts w:ascii="Times New Roman" w:eastAsiaTheme="minorEastAsia" w:hAnsi="Times New Roman" w:cs="Times New Roman"/>
        </w:rPr>
        <w:t>iano</w:t>
      </w:r>
      <w:proofErr w:type="spellEnd"/>
      <w:r w:rsidR="00F37EF2" w:rsidRPr="00AB6C3E">
        <w:rPr>
          <w:rFonts w:ascii="Times New Roman" w:eastAsiaTheme="minorEastAsia" w:hAnsi="Times New Roman" w:cs="Times New Roman"/>
        </w:rPr>
        <w:t xml:space="preserve"> </w:t>
      </w:r>
      <w:r w:rsidR="00421AD5" w:rsidRPr="00AB6C3E">
        <w:rPr>
          <w:rFonts w:ascii="Times New Roman" w:eastAsiaTheme="minorEastAsia" w:hAnsi="Times New Roman" w:cs="Times New Roman"/>
        </w:rPr>
        <w:t>E</w:t>
      </w:r>
      <w:r w:rsidR="00F37EF2" w:rsidRPr="00AB6C3E">
        <w:rPr>
          <w:rFonts w:ascii="Times New Roman" w:eastAsiaTheme="minorEastAsia" w:hAnsi="Times New Roman" w:cs="Times New Roman"/>
        </w:rPr>
        <w:t xml:space="preserve">conomico </w:t>
      </w:r>
      <w:r w:rsidR="00421AD5" w:rsidRPr="00AB6C3E">
        <w:rPr>
          <w:rFonts w:ascii="Times New Roman" w:eastAsiaTheme="minorEastAsia" w:hAnsi="Times New Roman" w:cs="Times New Roman"/>
        </w:rPr>
        <w:t>F</w:t>
      </w:r>
      <w:r w:rsidR="00F37EF2" w:rsidRPr="00AB6C3E">
        <w:rPr>
          <w:rFonts w:ascii="Times New Roman" w:eastAsiaTheme="minorEastAsia" w:hAnsi="Times New Roman" w:cs="Times New Roman"/>
        </w:rPr>
        <w:t>inanziario</w:t>
      </w:r>
      <w:r w:rsidR="00421AD5" w:rsidRPr="00AB6C3E">
        <w:rPr>
          <w:rFonts w:ascii="Times New Roman" w:eastAsiaTheme="minorEastAsia" w:hAnsi="Times New Roman" w:cs="Times New Roman"/>
        </w:rPr>
        <w:t xml:space="preserve"> per il medesimo anno. Ove tale differenza sia positiva tale indicatore assume valore 0</w:t>
      </w:r>
      <w:r w:rsidR="00F37EF2" w:rsidRPr="00AB6C3E">
        <w:rPr>
          <w:rFonts w:ascii="Times New Roman" w:eastAsiaTheme="minorEastAsia" w:hAnsi="Times New Roman" w:cs="Times New Roman"/>
        </w:rPr>
        <w:t>.</w:t>
      </w:r>
    </w:p>
    <w:p w14:paraId="380AA7D9" w14:textId="1F330002" w:rsidR="00421AD5" w:rsidRPr="00AB6C3E" w:rsidRDefault="00421AD5" w:rsidP="00421AD5">
      <w:pPr>
        <w:spacing w:line="288" w:lineRule="auto"/>
        <w:jc w:val="both"/>
        <w:rPr>
          <w:rFonts w:ascii="Times New Roman" w:eastAsiaTheme="minorEastAsia" w:hAnsi="Times New Roman" w:cs="Times New Roman"/>
          <w:u w:val="single"/>
        </w:rPr>
      </w:pPr>
      <w:r w:rsidRPr="00AB6C3E">
        <w:rPr>
          <w:rFonts w:ascii="Times New Roman" w:eastAsiaTheme="minorEastAsia" w:hAnsi="Times New Roman" w:cs="Times New Roman"/>
          <w:u w:val="single"/>
        </w:rPr>
        <w:t xml:space="preserve">Il valore </w:t>
      </w:r>
      <w:proofErr w:type="gramStart"/>
      <w:r w:rsidRPr="00AB6C3E">
        <w:rPr>
          <w:rFonts w:ascii="Times New Roman" w:eastAsiaTheme="minorEastAsia" w:hAnsi="Times New Roman" w:cs="Times New Roman"/>
          <w:u w:val="single"/>
        </w:rPr>
        <w:t xml:space="preserve">di </w:t>
      </w:r>
      <m:oMath>
        <m:sSub>
          <m:sSubPr>
            <m:ctrlPr>
              <w:rPr>
                <w:rFonts w:ascii="Cambria Math" w:hAnsi="Cambria Math" w:cs="Times New Roman"/>
                <w:i/>
                <w:u w:val="single"/>
              </w:rPr>
            </m:ctrlPr>
          </m:sSubPr>
          <m:e>
            <m:r>
              <w:rPr>
                <w:rFonts w:ascii="Cambria Math" w:hAnsi="Cambria Math" w:cs="Times New Roman"/>
                <w:u w:val="single"/>
              </w:rPr>
              <m:t>Eff</m:t>
            </m:r>
          </m:e>
          <m:sub>
            <m:r>
              <w:rPr>
                <w:rFonts w:ascii="Cambria Math" w:hAnsi="Cambria Math" w:cs="Times New Roman"/>
                <w:u w:val="single"/>
              </w:rPr>
              <m:t>Gt</m:t>
            </m:r>
          </m:sub>
        </m:sSub>
      </m:oMath>
      <w:r w:rsidRPr="00AB6C3E">
        <w:rPr>
          <w:rFonts w:ascii="Times New Roman" w:eastAsiaTheme="minorEastAsia" w:hAnsi="Times New Roman" w:cs="Times New Roman"/>
          <w:u w:val="single"/>
        </w:rPr>
        <w:t xml:space="preserve"> viene</w:t>
      </w:r>
      <w:proofErr w:type="gramEnd"/>
      <w:r w:rsidRPr="00AB6C3E">
        <w:rPr>
          <w:rFonts w:ascii="Times New Roman" w:eastAsiaTheme="minorEastAsia" w:hAnsi="Times New Roman" w:cs="Times New Roman"/>
          <w:u w:val="single"/>
        </w:rPr>
        <w:t xml:space="preserve"> pertanto detratto dall’eventuale recupero di somme da prevedersi in caso di sovra</w:t>
      </w:r>
      <w:r w:rsidR="009207DF" w:rsidRPr="00AB6C3E">
        <w:rPr>
          <w:rFonts w:ascii="Times New Roman" w:eastAsiaTheme="minorEastAsia" w:hAnsi="Times New Roman" w:cs="Times New Roman"/>
          <w:u w:val="single"/>
        </w:rPr>
        <w:t xml:space="preserve"> </w:t>
      </w:r>
      <w:r w:rsidRPr="00AB6C3E">
        <w:rPr>
          <w:rFonts w:ascii="Times New Roman" w:eastAsiaTheme="minorEastAsia" w:hAnsi="Times New Roman" w:cs="Times New Roman"/>
          <w:u w:val="single"/>
        </w:rPr>
        <w:t>compensazione.</w:t>
      </w:r>
    </w:p>
    <w:p w14:paraId="315BC6C8" w14:textId="7282745F" w:rsidR="00272300" w:rsidRPr="00AB6C3E" w:rsidRDefault="007111BC" w:rsidP="00272300">
      <w:pPr>
        <w:spacing w:line="288" w:lineRule="auto"/>
        <w:jc w:val="both"/>
        <w:rPr>
          <w:rFonts w:ascii="Times New Roman" w:hAnsi="Times New Roman" w:cs="Times New Roman"/>
        </w:rPr>
      </w:pPr>
      <w:r w:rsidRPr="00AB6C3E">
        <w:rPr>
          <w:rFonts w:ascii="Times New Roman" w:hAnsi="Times New Roman" w:cs="Times New Roman"/>
        </w:rPr>
        <w:t xml:space="preserve">A seguito della verifica </w:t>
      </w:r>
      <w:r w:rsidR="00F37EF2" w:rsidRPr="00AB6C3E">
        <w:rPr>
          <w:rFonts w:ascii="Times New Roman" w:hAnsi="Times New Roman" w:cs="Times New Roman"/>
        </w:rPr>
        <w:t>de</w:t>
      </w:r>
      <w:r w:rsidRPr="00AB6C3E">
        <w:rPr>
          <w:rFonts w:ascii="Times New Roman" w:hAnsi="Times New Roman" w:cs="Times New Roman"/>
        </w:rPr>
        <w:t xml:space="preserve">ll’andamento dei ricavi, dei costi e del capitale investito alla luce dell’attribuzione dei rischi, nonché a seguito dell’attribuzione del fattore di </w:t>
      </w:r>
      <w:proofErr w:type="spellStart"/>
      <w:r w:rsidRPr="00AB6C3E">
        <w:rPr>
          <w:rFonts w:ascii="Times New Roman" w:hAnsi="Times New Roman" w:cs="Times New Roman"/>
        </w:rPr>
        <w:t>premialità</w:t>
      </w:r>
      <w:proofErr w:type="spellEnd"/>
      <w:r w:rsidRPr="00AB6C3E">
        <w:rPr>
          <w:rFonts w:ascii="Times New Roman" w:hAnsi="Times New Roman" w:cs="Times New Roman"/>
        </w:rPr>
        <w:t xml:space="preserve"> </w:t>
      </w:r>
      <w:r w:rsidR="00F37EF2" w:rsidRPr="00AB6C3E">
        <w:rPr>
          <w:rFonts w:ascii="Times New Roman" w:hAnsi="Times New Roman" w:cs="Times New Roman"/>
        </w:rPr>
        <w:t>(</w:t>
      </w:r>
      <m:oMath>
        <m:sSub>
          <m:sSubPr>
            <m:ctrlPr>
              <w:rPr>
                <w:rFonts w:ascii="Cambria Math" w:hAnsi="Cambria Math" w:cs="Times New Roman"/>
                <w:i/>
                <w:u w:val="single"/>
              </w:rPr>
            </m:ctrlPr>
          </m:sSubPr>
          <m:e>
            <m:r>
              <w:rPr>
                <w:rFonts w:ascii="Cambria Math" w:hAnsi="Cambria Math" w:cs="Times New Roman"/>
                <w:u w:val="single"/>
              </w:rPr>
              <m:t>Eff</m:t>
            </m:r>
          </m:e>
          <m:sub>
            <m:r>
              <w:rPr>
                <w:rFonts w:ascii="Cambria Math" w:hAnsi="Cambria Math" w:cs="Times New Roman"/>
                <w:u w:val="single"/>
              </w:rPr>
              <m:t>Gt</m:t>
            </m:r>
          </m:sub>
        </m:sSub>
      </m:oMath>
      <w:r w:rsidR="00F37EF2" w:rsidRPr="00AB6C3E">
        <w:rPr>
          <w:rFonts w:ascii="Times New Roman" w:eastAsiaTheme="minorEastAsia" w:hAnsi="Times New Roman" w:cs="Times New Roman"/>
          <w:u w:val="single"/>
        </w:rPr>
        <w:t xml:space="preserve">) </w:t>
      </w:r>
      <w:r w:rsidRPr="00AB6C3E">
        <w:rPr>
          <w:rFonts w:ascii="Times New Roman" w:hAnsi="Times New Roman" w:cs="Times New Roman"/>
        </w:rPr>
        <w:t xml:space="preserve">fra </w:t>
      </w:r>
      <w:r w:rsidR="00C01812" w:rsidRPr="00AB6C3E">
        <w:rPr>
          <w:rFonts w:ascii="Times New Roman" w:hAnsi="Times New Roman" w:cs="Times New Roman"/>
        </w:rPr>
        <w:t>Regione</w:t>
      </w:r>
      <w:r w:rsidRPr="00AB6C3E">
        <w:rPr>
          <w:rFonts w:ascii="Times New Roman" w:hAnsi="Times New Roman" w:cs="Times New Roman"/>
        </w:rPr>
        <w:t xml:space="preserve"> </w:t>
      </w:r>
      <w:r w:rsidR="00F37EF2" w:rsidRPr="00AB6C3E">
        <w:rPr>
          <w:rFonts w:ascii="Times New Roman" w:hAnsi="Times New Roman" w:cs="Times New Roman"/>
        </w:rPr>
        <w:t xml:space="preserve">Siciliana </w:t>
      </w:r>
      <w:r w:rsidRPr="00AB6C3E">
        <w:rPr>
          <w:rFonts w:ascii="Times New Roman" w:hAnsi="Times New Roman" w:cs="Times New Roman"/>
        </w:rPr>
        <w:t>e concessionario, si determinerà il P</w:t>
      </w:r>
      <w:r w:rsidR="00F37EF2" w:rsidRPr="00AB6C3E">
        <w:rPr>
          <w:rFonts w:ascii="Times New Roman" w:hAnsi="Times New Roman" w:cs="Times New Roman"/>
        </w:rPr>
        <w:t xml:space="preserve">iano </w:t>
      </w:r>
      <w:r w:rsidRPr="00AB6C3E">
        <w:rPr>
          <w:rFonts w:ascii="Times New Roman" w:hAnsi="Times New Roman" w:cs="Times New Roman"/>
        </w:rPr>
        <w:t>aggiornato oggetto di effettiva verifica dello stato di sovra o sotto</w:t>
      </w:r>
      <w:r w:rsidR="009207DF" w:rsidRPr="00AB6C3E">
        <w:rPr>
          <w:rFonts w:ascii="Times New Roman" w:hAnsi="Times New Roman" w:cs="Times New Roman"/>
        </w:rPr>
        <w:t xml:space="preserve"> </w:t>
      </w:r>
      <w:r w:rsidRPr="00AB6C3E">
        <w:rPr>
          <w:rFonts w:ascii="Times New Roman" w:hAnsi="Times New Roman" w:cs="Times New Roman"/>
        </w:rPr>
        <w:t>compensazione</w:t>
      </w:r>
      <w:r w:rsidR="00272300" w:rsidRPr="00AB6C3E">
        <w:rPr>
          <w:rFonts w:ascii="Times New Roman" w:hAnsi="Times New Roman" w:cs="Times New Roman"/>
        </w:rPr>
        <w:t>.</w:t>
      </w:r>
    </w:p>
    <w:p w14:paraId="20902785" w14:textId="437BF8DA" w:rsidR="00C57FD2" w:rsidRPr="00AB6C3E" w:rsidRDefault="008E07E4" w:rsidP="00272300">
      <w:pPr>
        <w:spacing w:line="288" w:lineRule="auto"/>
        <w:jc w:val="both"/>
        <w:rPr>
          <w:rFonts w:ascii="Times New Roman" w:hAnsi="Times New Roman" w:cs="Times New Roman"/>
        </w:rPr>
      </w:pPr>
      <w:r w:rsidRPr="00AB6C3E">
        <w:rPr>
          <w:rFonts w:ascii="Times New Roman" w:hAnsi="Times New Roman" w:cs="Times New Roman"/>
        </w:rPr>
        <w:t>In particolare, per ciascun anno del P</w:t>
      </w:r>
      <w:r w:rsidR="00F37EF2" w:rsidRPr="00AB6C3E">
        <w:rPr>
          <w:rFonts w:ascii="Times New Roman" w:hAnsi="Times New Roman" w:cs="Times New Roman"/>
        </w:rPr>
        <w:t>iano</w:t>
      </w:r>
      <w:r w:rsidRPr="00AB6C3E">
        <w:rPr>
          <w:rFonts w:ascii="Times New Roman" w:hAnsi="Times New Roman" w:cs="Times New Roman"/>
        </w:rPr>
        <w:t xml:space="preserve"> verrà rideterminata la compensazione spettante sulla base della seguente formula:</w:t>
      </w:r>
    </w:p>
    <w:p w14:paraId="6FD3E377" w14:textId="0FD96BF2" w:rsidR="008E07E4" w:rsidRPr="00AB6C3E" w:rsidRDefault="00473F0D" w:rsidP="00272300">
      <w:pPr>
        <w:spacing w:line="288" w:lineRule="auto"/>
        <w:jc w:val="both"/>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Comp</m:t>
              </m:r>
            </m:e>
            <m:sub>
              <m:r>
                <w:rPr>
                  <w:rFonts w:ascii="Cambria Math" w:hAnsi="Cambria Math" w:cs="Times New Roman"/>
                </w:rPr>
                <m:t>n</m:t>
              </m:r>
            </m:sub>
          </m:sSub>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Opex</m:t>
              </m:r>
            </m:e>
            <m:sub>
              <m:r>
                <w:rPr>
                  <w:rFonts w:ascii="Cambria Math" w:hAnsi="Cambria Math" w:cs="Times New Roman"/>
                </w:rPr>
                <m:t>new</m:t>
              </m:r>
            </m:sub>
            <m:sup>
              <m:r>
                <w:rPr>
                  <w:rFonts w:ascii="Cambria Math" w:hAnsi="Cambria Math" w:cs="Times New Roman"/>
                </w:rPr>
                <m:t>n</m:t>
              </m:r>
            </m:sup>
          </m:sSubSup>
          <m:r>
            <w:rPr>
              <w:rFonts w:ascii="Cambria Math" w:eastAsiaTheme="minorEastAsia" w:hAnsi="Cambria Math" w:cs="Times New Roman"/>
            </w:rPr>
            <m:t>+</m:t>
          </m:r>
          <m:sSubSup>
            <m:sSubSupPr>
              <m:ctrlPr>
                <w:rPr>
                  <w:rFonts w:ascii="Cambria Math" w:hAnsi="Cambria Math" w:cs="Times New Roman"/>
                  <w:i/>
                </w:rPr>
              </m:ctrlPr>
            </m:sSubSupPr>
            <m:e>
              <m:r>
                <w:rPr>
                  <w:rFonts w:ascii="Cambria Math" w:hAnsi="Cambria Math" w:cs="Times New Roman"/>
                </w:rPr>
                <m:t>RC</m:t>
              </m:r>
            </m:e>
            <m:sub>
              <m:r>
                <w:rPr>
                  <w:rFonts w:ascii="Cambria Math" w:hAnsi="Cambria Math" w:cs="Times New Roman"/>
                </w:rPr>
                <m:t>new</m:t>
              </m:r>
            </m:sub>
            <m:sup>
              <m:r>
                <w:rPr>
                  <w:rFonts w:ascii="Cambria Math" w:hAnsi="Cambria Math" w:cs="Times New Roman"/>
                </w:rPr>
                <m:t>n</m:t>
              </m:r>
            </m:sup>
          </m:sSubSup>
          <m:r>
            <w:rPr>
              <w:rFonts w:ascii="Cambria Math" w:eastAsiaTheme="minorEastAsia" w:hAnsi="Cambria Math" w:cs="Times New Roman"/>
            </w:rPr>
            <m:t xml:space="preserve">- </m:t>
          </m:r>
          <m:sSubSup>
            <m:sSubSupPr>
              <m:ctrlPr>
                <w:rPr>
                  <w:rFonts w:ascii="Cambria Math" w:hAnsi="Cambria Math" w:cs="Times New Roman"/>
                  <w:i/>
                </w:rPr>
              </m:ctrlPr>
            </m:sSubSupPr>
            <m:e>
              <m:r>
                <w:rPr>
                  <w:rFonts w:ascii="Cambria Math" w:hAnsi="Cambria Math" w:cs="Times New Roman"/>
                </w:rPr>
                <m:t>Ricavi</m:t>
              </m:r>
            </m:e>
            <m:sub>
              <m:r>
                <w:rPr>
                  <w:rFonts w:ascii="Cambria Math" w:hAnsi="Cambria Math" w:cs="Times New Roman"/>
                </w:rPr>
                <m:t>new</m:t>
              </m:r>
            </m:sub>
            <m:sup>
              <m:r>
                <w:rPr>
                  <w:rFonts w:ascii="Cambria Math" w:hAnsi="Cambria Math" w:cs="Times New Roman"/>
                </w:rPr>
                <m:t>n</m:t>
              </m:r>
            </m:sup>
          </m:sSubSup>
          <m:r>
            <w:rPr>
              <w:rFonts w:ascii="Cambria Math" w:eastAsiaTheme="minorEastAsia" w:hAnsi="Cambria Math" w:cs="Times New Roman"/>
            </w:rPr>
            <m:t>+</m:t>
          </m:r>
          <m:sSubSup>
            <m:sSubSupPr>
              <m:ctrlPr>
                <w:rPr>
                  <w:rFonts w:ascii="Cambria Math" w:hAnsi="Cambria Math" w:cs="Times New Roman"/>
                  <w:i/>
                </w:rPr>
              </m:ctrlPr>
            </m:sSubSupPr>
            <m:e>
              <m:r>
                <w:rPr>
                  <w:rFonts w:ascii="Cambria Math" w:hAnsi="Cambria Math" w:cs="Times New Roman"/>
                </w:rPr>
                <m:t>Eff</m:t>
              </m:r>
            </m:e>
            <m:sub>
              <m:r>
                <w:rPr>
                  <w:rFonts w:ascii="Cambria Math" w:hAnsi="Cambria Math" w:cs="Times New Roman"/>
                </w:rPr>
                <m:t>G</m:t>
              </m:r>
            </m:sub>
            <m:sup>
              <m:r>
                <w:rPr>
                  <w:rFonts w:ascii="Cambria Math" w:hAnsi="Cambria Math" w:cs="Times New Roman"/>
                </w:rPr>
                <m:t>n</m:t>
              </m:r>
            </m:sup>
          </m:sSubSup>
        </m:oMath>
      </m:oMathPara>
    </w:p>
    <w:p w14:paraId="6872CC4A" w14:textId="2EACD741" w:rsidR="008E07E4" w:rsidRPr="00AB6C3E" w:rsidRDefault="008E07E4" w:rsidP="008E07E4">
      <w:pPr>
        <w:spacing w:line="288" w:lineRule="auto"/>
        <w:jc w:val="both"/>
        <w:rPr>
          <w:rFonts w:ascii="Times New Roman" w:hAnsi="Times New Roman" w:cs="Times New Roman"/>
        </w:rPr>
      </w:pPr>
      <w:r w:rsidRPr="00AB6C3E">
        <w:rPr>
          <w:rFonts w:ascii="Times New Roman" w:hAnsi="Times New Roman" w:cs="Times New Roman"/>
        </w:rPr>
        <w:t>Dove:</w:t>
      </w:r>
    </w:p>
    <w:p w14:paraId="37CAB586" w14:textId="0BB3BE1A" w:rsidR="008E07E4" w:rsidRPr="00AB6C3E" w:rsidRDefault="00473F0D" w:rsidP="008E07E4">
      <w:pPr>
        <w:pStyle w:val="Paragrafoelenco"/>
        <w:numPr>
          <w:ilvl w:val="0"/>
          <w:numId w:val="19"/>
        </w:numPr>
        <w:spacing w:line="288" w:lineRule="auto"/>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Opex</m:t>
            </m:r>
          </m:e>
          <m:sub>
            <m:r>
              <w:rPr>
                <w:rFonts w:ascii="Cambria Math" w:hAnsi="Cambria Math" w:cs="Times New Roman"/>
              </w:rPr>
              <m:t>new</m:t>
            </m:r>
          </m:sub>
          <m:sup>
            <m:r>
              <w:rPr>
                <w:rFonts w:ascii="Cambria Math" w:hAnsi="Cambria Math" w:cs="Times New Roman"/>
              </w:rPr>
              <m:t>n</m:t>
            </m:r>
          </m:sup>
        </m:sSubSup>
      </m:oMath>
      <w:r w:rsidR="008E07E4" w:rsidRPr="00AB6C3E">
        <w:rPr>
          <w:rFonts w:ascii="Times New Roman" w:eastAsiaTheme="minorEastAsia" w:hAnsi="Times New Roman" w:cs="Times New Roman"/>
        </w:rPr>
        <w:t xml:space="preserve"> </w:t>
      </w:r>
      <w:proofErr w:type="gramStart"/>
      <w:r w:rsidR="008E07E4" w:rsidRPr="00AB6C3E">
        <w:rPr>
          <w:rFonts w:ascii="Times New Roman" w:eastAsiaTheme="minorEastAsia" w:hAnsi="Times New Roman" w:cs="Times New Roman"/>
        </w:rPr>
        <w:t>sono</w:t>
      </w:r>
      <w:proofErr w:type="gramEnd"/>
      <w:r w:rsidR="008E07E4" w:rsidRPr="00AB6C3E">
        <w:rPr>
          <w:rFonts w:ascii="Times New Roman" w:eastAsiaTheme="minorEastAsia" w:hAnsi="Times New Roman" w:cs="Times New Roman"/>
        </w:rPr>
        <w:t xml:space="preserve"> i nuovi costi operativi</w:t>
      </w:r>
      <w:r w:rsidR="00B52694" w:rsidRPr="00AB6C3E">
        <w:rPr>
          <w:rFonts w:ascii="Times New Roman" w:eastAsiaTheme="minorEastAsia" w:hAnsi="Times New Roman" w:cs="Times New Roman"/>
        </w:rPr>
        <w:t xml:space="preserve"> per l’anno n</w:t>
      </w:r>
      <w:r w:rsidR="008E07E4" w:rsidRPr="00AB6C3E">
        <w:rPr>
          <w:rFonts w:ascii="Times New Roman" w:eastAsiaTheme="minorEastAsia" w:hAnsi="Times New Roman" w:cs="Times New Roman"/>
        </w:rPr>
        <w:t>, come dettagliati nel prospetto del P</w:t>
      </w:r>
      <w:r w:rsidR="00F37EF2" w:rsidRPr="00AB6C3E">
        <w:rPr>
          <w:rFonts w:ascii="Times New Roman" w:eastAsiaTheme="minorEastAsia" w:hAnsi="Times New Roman" w:cs="Times New Roman"/>
        </w:rPr>
        <w:t>iano Economico Finanziario</w:t>
      </w:r>
      <w:r w:rsidR="00AC4A44" w:rsidRPr="00AB6C3E">
        <w:rPr>
          <w:rFonts w:ascii="Times New Roman" w:eastAsiaTheme="minorEastAsia" w:hAnsi="Times New Roman" w:cs="Times New Roman"/>
        </w:rPr>
        <w:t xml:space="preserve"> di offerta d</w:t>
      </w:r>
      <w:r w:rsidR="00F37EF2" w:rsidRPr="00AB6C3E">
        <w:rPr>
          <w:rFonts w:ascii="Times New Roman" w:eastAsiaTheme="minorEastAsia" w:hAnsi="Times New Roman" w:cs="Times New Roman"/>
        </w:rPr>
        <w:t>e</w:t>
      </w:r>
      <w:r w:rsidR="00AC4A44" w:rsidRPr="00AB6C3E">
        <w:rPr>
          <w:rFonts w:ascii="Times New Roman" w:eastAsiaTheme="minorEastAsia" w:hAnsi="Times New Roman" w:cs="Times New Roman"/>
        </w:rPr>
        <w:t>l gestore, sulla base dei quali calcolare la compensazione che assumono i seguenti valori:</w:t>
      </w:r>
    </w:p>
    <w:p w14:paraId="287BB016" w14:textId="0D55A817" w:rsidR="00AC4A44" w:rsidRPr="00AB6C3E" w:rsidRDefault="00F37EF2" w:rsidP="00AC4A44">
      <w:pPr>
        <w:pStyle w:val="Paragrafoelenco"/>
        <w:numPr>
          <w:ilvl w:val="1"/>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c</w:t>
      </w:r>
      <w:r w:rsidR="00AC4A44" w:rsidRPr="00AB6C3E">
        <w:rPr>
          <w:rFonts w:ascii="Times New Roman" w:eastAsiaTheme="minorEastAsia" w:hAnsi="Times New Roman" w:cs="Times New Roman"/>
        </w:rPr>
        <w:t>on</w:t>
      </w:r>
      <w:proofErr w:type="gramEnd"/>
      <w:r w:rsidR="00AC4A44" w:rsidRPr="00AB6C3E">
        <w:rPr>
          <w:rFonts w:ascii="Times New Roman" w:eastAsiaTheme="minorEastAsia" w:hAnsi="Times New Roman" w:cs="Times New Roman"/>
        </w:rPr>
        <w:t xml:space="preserve"> riferimento ai periodi a consuntivo:</w:t>
      </w:r>
    </w:p>
    <w:p w14:paraId="2BA4999B" w14:textId="36AB52E1" w:rsidR="00AC4A44" w:rsidRPr="00AB6C3E" w:rsidRDefault="00F37EF2" w:rsidP="00AC4A44">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AC4A44" w:rsidRPr="00AB6C3E">
        <w:rPr>
          <w:rFonts w:ascii="Times New Roman" w:eastAsiaTheme="minorEastAsia" w:hAnsi="Times New Roman" w:cs="Times New Roman"/>
        </w:rPr>
        <w:t>er</w:t>
      </w:r>
      <w:proofErr w:type="gramEnd"/>
      <w:r w:rsidR="00AC4A44" w:rsidRPr="00AB6C3E">
        <w:rPr>
          <w:rFonts w:ascii="Times New Roman" w:eastAsiaTheme="minorEastAsia" w:hAnsi="Times New Roman" w:cs="Times New Roman"/>
        </w:rPr>
        <w:t xml:space="preserve"> ciascuna voce di costo operativo, in caso di valore a consuntivo dichiarato dal gestore nel suo </w:t>
      </w:r>
      <w:r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 xml:space="preserve">aggiornato trasmesso alla committenza ai sensi del presente allegato, inferiore a quello del </w:t>
      </w:r>
      <w:r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di offerta, si assumerà il costo dichiarato;</w:t>
      </w:r>
    </w:p>
    <w:p w14:paraId="2A024602" w14:textId="6F2D06F8" w:rsidR="00AC4A44" w:rsidRPr="00AB6C3E" w:rsidRDefault="00F37EF2" w:rsidP="00AC4A44">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AC4A44" w:rsidRPr="00AB6C3E">
        <w:rPr>
          <w:rFonts w:ascii="Times New Roman" w:eastAsiaTheme="minorEastAsia" w:hAnsi="Times New Roman" w:cs="Times New Roman"/>
        </w:rPr>
        <w:t>er</w:t>
      </w:r>
      <w:proofErr w:type="gramEnd"/>
      <w:r w:rsidR="00AC4A44" w:rsidRPr="00AB6C3E">
        <w:rPr>
          <w:rFonts w:ascii="Times New Roman" w:eastAsiaTheme="minorEastAsia" w:hAnsi="Times New Roman" w:cs="Times New Roman"/>
        </w:rPr>
        <w:t xml:space="preserve"> ciascuna voce di costo operativo, in caso di valore a consuntivo dichiarato dal gestore nel suo </w:t>
      </w:r>
      <w:r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 xml:space="preserve">aggiornato trasmesso alla committenza ai sensi del presente allegato, superiore a quello del </w:t>
      </w:r>
      <w:r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di offerta, si assumerà il costo così come ricalcolato sulla base dei rischi effettivamente in capo a Regione e indicati nel presente documento;</w:t>
      </w:r>
    </w:p>
    <w:p w14:paraId="0F25B312" w14:textId="4F3FEF42" w:rsidR="00AC4A44" w:rsidRPr="00AB6C3E" w:rsidRDefault="00F37EF2" w:rsidP="00AC4A44">
      <w:pPr>
        <w:pStyle w:val="Paragrafoelenco"/>
        <w:numPr>
          <w:ilvl w:val="1"/>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c</w:t>
      </w:r>
      <w:r w:rsidR="00AC4A44" w:rsidRPr="00AB6C3E">
        <w:rPr>
          <w:rFonts w:ascii="Times New Roman" w:eastAsiaTheme="minorEastAsia" w:hAnsi="Times New Roman" w:cs="Times New Roman"/>
        </w:rPr>
        <w:t>on</w:t>
      </w:r>
      <w:proofErr w:type="gramEnd"/>
      <w:r w:rsidR="00AC4A44" w:rsidRPr="00AB6C3E">
        <w:rPr>
          <w:rFonts w:ascii="Times New Roman" w:eastAsiaTheme="minorEastAsia" w:hAnsi="Times New Roman" w:cs="Times New Roman"/>
        </w:rPr>
        <w:t xml:space="preserve"> riferimento ai periodi a preventivo si assumeranno le previsioni di stima del gestore contenute nel </w:t>
      </w:r>
      <w:r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aggiornato, posta la verifica di coerenza e congruità con i dati di mercato e la verifica delle assunzioni alla base delle stime da effettuarsi da Regione</w:t>
      </w:r>
      <w:r w:rsidRPr="00AB6C3E">
        <w:rPr>
          <w:rFonts w:ascii="Times New Roman" w:eastAsiaTheme="minorEastAsia" w:hAnsi="Times New Roman" w:cs="Times New Roman"/>
        </w:rPr>
        <w:t>;</w:t>
      </w:r>
    </w:p>
    <w:p w14:paraId="1164D444" w14:textId="28D05F01" w:rsidR="00AC4A44" w:rsidRPr="00AB6C3E" w:rsidRDefault="00473F0D" w:rsidP="00AC4A44">
      <w:pPr>
        <w:pStyle w:val="Paragrafoelenco"/>
        <w:numPr>
          <w:ilvl w:val="0"/>
          <w:numId w:val="19"/>
        </w:numPr>
        <w:spacing w:line="288" w:lineRule="auto"/>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RC</m:t>
            </m:r>
          </m:e>
          <m:sub>
            <m:r>
              <w:rPr>
                <w:rFonts w:ascii="Cambria Math" w:hAnsi="Cambria Math" w:cs="Times New Roman"/>
              </w:rPr>
              <m:t>new</m:t>
            </m:r>
          </m:sub>
          <m:sup>
            <m:r>
              <w:rPr>
                <w:rFonts w:ascii="Cambria Math" w:hAnsi="Cambria Math" w:cs="Times New Roman"/>
              </w:rPr>
              <m:t>n</m:t>
            </m:r>
          </m:sup>
        </m:sSubSup>
      </m:oMath>
      <w:r w:rsidR="00F37EF2" w:rsidRPr="00AB6C3E">
        <w:rPr>
          <w:rFonts w:ascii="Times New Roman" w:eastAsiaTheme="minorEastAsia" w:hAnsi="Times New Roman" w:cs="Times New Roman"/>
        </w:rPr>
        <w:t xml:space="preserve"> </w:t>
      </w:r>
      <w:proofErr w:type="gramStart"/>
      <w:r w:rsidR="00AC4A44" w:rsidRPr="00AB6C3E">
        <w:rPr>
          <w:rFonts w:ascii="Times New Roman" w:eastAsiaTheme="minorEastAsia" w:hAnsi="Times New Roman" w:cs="Times New Roman"/>
        </w:rPr>
        <w:t>è</w:t>
      </w:r>
      <w:proofErr w:type="gramEnd"/>
      <w:r w:rsidR="00AC4A44" w:rsidRPr="00AB6C3E">
        <w:rPr>
          <w:rFonts w:ascii="Times New Roman" w:eastAsiaTheme="minorEastAsia" w:hAnsi="Times New Roman" w:cs="Times New Roman"/>
        </w:rPr>
        <w:t xml:space="preserve"> la remunerazione del capitale investito come dettagliati nel prospetto del </w:t>
      </w:r>
      <w:r w:rsidR="00F37EF2" w:rsidRPr="00AB6C3E">
        <w:rPr>
          <w:rFonts w:ascii="Times New Roman" w:eastAsiaTheme="minorEastAsia" w:hAnsi="Times New Roman" w:cs="Times New Roman"/>
        </w:rPr>
        <w:t xml:space="preserve">Piano Economico Finanziario </w:t>
      </w:r>
      <w:r w:rsidR="00AC4A44" w:rsidRPr="00AB6C3E">
        <w:rPr>
          <w:rFonts w:ascii="Times New Roman" w:eastAsiaTheme="minorEastAsia" w:hAnsi="Times New Roman" w:cs="Times New Roman"/>
        </w:rPr>
        <w:t xml:space="preserve">di offerta dal gestore, sulla base dei quali calcolare la compensazione pari a </w:t>
      </w:r>
      <m:oMath>
        <m:sSub>
          <m:sSubPr>
            <m:ctrlPr>
              <w:rPr>
                <w:rFonts w:ascii="Cambria Math" w:hAnsi="Cambria Math" w:cs="Times New Roman"/>
                <w:i/>
              </w:rPr>
            </m:ctrlPr>
          </m:sSubPr>
          <m:e>
            <m:r>
              <w:rPr>
                <w:rFonts w:ascii="Cambria Math" w:hAnsi="Cambria Math" w:cs="Times New Roman"/>
              </w:rPr>
              <m:t>CIN</m:t>
            </m:r>
          </m:e>
          <m:sub>
            <m:r>
              <w:rPr>
                <w:rFonts w:ascii="Cambria Math" w:hAnsi="Cambria Math" w:cs="Times New Roman"/>
              </w:rPr>
              <m:t>new</m:t>
            </m:r>
          </m:sub>
        </m:sSub>
        <m:r>
          <w:rPr>
            <w:rFonts w:ascii="Cambria Math" w:hAnsi="Cambria Math" w:cs="Times New Roman"/>
          </w:rPr>
          <m:t>*WACC</m:t>
        </m:r>
      </m:oMath>
      <w:r w:rsidR="00AC4A44" w:rsidRPr="00AB6C3E">
        <w:rPr>
          <w:rFonts w:ascii="Times New Roman" w:eastAsiaTheme="minorEastAsia" w:hAnsi="Times New Roman" w:cs="Times New Roman"/>
        </w:rPr>
        <w:t xml:space="preserve"> dove:</w:t>
      </w:r>
    </w:p>
    <w:p w14:paraId="51E895E5" w14:textId="1A3B90BC" w:rsidR="00E34CBB" w:rsidRPr="00AB6C3E" w:rsidRDefault="00473F0D" w:rsidP="00AC4A44">
      <w:pPr>
        <w:pStyle w:val="Paragrafoelenco"/>
        <w:numPr>
          <w:ilvl w:val="1"/>
          <w:numId w:val="19"/>
        </w:numPr>
        <w:spacing w:line="288" w:lineRule="auto"/>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CIN</m:t>
            </m:r>
          </m:e>
          <m:sub>
            <m:r>
              <w:rPr>
                <w:rFonts w:ascii="Cambria Math" w:hAnsi="Cambria Math" w:cs="Times New Roman"/>
              </w:rPr>
              <m:t>new</m:t>
            </m:r>
          </m:sub>
        </m:sSub>
      </m:oMath>
      <w:r w:rsidR="00AC4A44" w:rsidRPr="00AB6C3E">
        <w:rPr>
          <w:rFonts w:ascii="Times New Roman" w:eastAsiaTheme="minorEastAsia" w:hAnsi="Times New Roman" w:cs="Times New Roman"/>
        </w:rPr>
        <w:t xml:space="preserve"> </w:t>
      </w:r>
      <w:proofErr w:type="gramStart"/>
      <w:r w:rsidR="00AC4A44" w:rsidRPr="00AB6C3E">
        <w:rPr>
          <w:rFonts w:ascii="Times New Roman" w:eastAsiaTheme="minorEastAsia" w:hAnsi="Times New Roman" w:cs="Times New Roman"/>
        </w:rPr>
        <w:t>è</w:t>
      </w:r>
      <w:proofErr w:type="gramEnd"/>
      <w:r w:rsidR="00AC4A44" w:rsidRPr="00AB6C3E">
        <w:rPr>
          <w:rFonts w:ascii="Times New Roman" w:eastAsiaTheme="minorEastAsia" w:hAnsi="Times New Roman" w:cs="Times New Roman"/>
        </w:rPr>
        <w:t xml:space="preserve"> il capitale investito dell’anno n</w:t>
      </w:r>
      <w:r w:rsidR="00B52694" w:rsidRPr="00AB6C3E">
        <w:rPr>
          <w:rFonts w:ascii="Times New Roman" w:eastAsiaTheme="minorEastAsia" w:hAnsi="Times New Roman" w:cs="Times New Roman"/>
        </w:rPr>
        <w:t xml:space="preserve"> come desumibile dallo schema 2 del prospetto di </w:t>
      </w:r>
      <w:r w:rsidR="00F37EF2" w:rsidRPr="00AB6C3E">
        <w:rPr>
          <w:rFonts w:ascii="Times New Roman" w:eastAsiaTheme="minorEastAsia" w:hAnsi="Times New Roman" w:cs="Times New Roman"/>
        </w:rPr>
        <w:t>Piano Economico Finanziario</w:t>
      </w:r>
      <w:r w:rsidR="00B52694" w:rsidRPr="00AB6C3E">
        <w:rPr>
          <w:rFonts w:ascii="Times New Roman" w:eastAsiaTheme="minorEastAsia" w:hAnsi="Times New Roman" w:cs="Times New Roman"/>
        </w:rPr>
        <w:t>, che sarà calcolato, per ciascuna voce che comporta la sua determinazione</w:t>
      </w:r>
      <w:r w:rsidR="00E34CBB" w:rsidRPr="00AB6C3E">
        <w:rPr>
          <w:rFonts w:ascii="Times New Roman" w:eastAsiaTheme="minorEastAsia" w:hAnsi="Times New Roman" w:cs="Times New Roman"/>
        </w:rPr>
        <w:t xml:space="preserve">: </w:t>
      </w:r>
    </w:p>
    <w:p w14:paraId="7DA15497" w14:textId="1CE32AAB" w:rsidR="00AC4A44" w:rsidRPr="00AB6C3E" w:rsidRDefault="00E34CBB" w:rsidP="00E34CBB">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con</w:t>
      </w:r>
      <w:proofErr w:type="gramEnd"/>
      <w:r w:rsidRPr="00AB6C3E">
        <w:rPr>
          <w:rFonts w:ascii="Times New Roman" w:eastAsiaTheme="minorEastAsia" w:hAnsi="Times New Roman" w:cs="Times New Roman"/>
        </w:rPr>
        <w:t xml:space="preserve"> riferimento agli anni a consuntivo</w:t>
      </w:r>
      <w:r w:rsidR="00B52694" w:rsidRPr="00AB6C3E">
        <w:rPr>
          <w:rFonts w:ascii="Times New Roman" w:eastAsiaTheme="minorEastAsia" w:hAnsi="Times New Roman" w:cs="Times New Roman"/>
        </w:rPr>
        <w:t>:</w:t>
      </w:r>
    </w:p>
    <w:p w14:paraId="1755E665" w14:textId="4FBFBB1A" w:rsidR="00B52694" w:rsidRPr="00AB6C3E" w:rsidRDefault="00F37EF2" w:rsidP="00E34CBB">
      <w:pPr>
        <w:pStyle w:val="Paragrafoelenco"/>
        <w:numPr>
          <w:ilvl w:val="3"/>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lastRenderedPageBreak/>
        <w:t>p</w:t>
      </w:r>
      <w:r w:rsidR="00B52694" w:rsidRPr="00AB6C3E">
        <w:rPr>
          <w:rFonts w:ascii="Times New Roman" w:eastAsiaTheme="minorEastAsia" w:hAnsi="Times New Roman" w:cs="Times New Roman"/>
        </w:rPr>
        <w:t>er</w:t>
      </w:r>
      <w:proofErr w:type="gramEnd"/>
      <w:r w:rsidR="00B52694" w:rsidRPr="00AB6C3E">
        <w:rPr>
          <w:rFonts w:ascii="Times New Roman" w:eastAsiaTheme="minorEastAsia" w:hAnsi="Times New Roman" w:cs="Times New Roman"/>
        </w:rPr>
        <w:t xml:space="preserve"> ciascuna voce di immobilizzazione o credito o rimanenza, in caso di valore a consuntivo dichiarato dal gestore nel suo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 xml:space="preserve">aggiornato trasmesso alla committenza ai sensi del presente allegato, inferiore a quello del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di offerta, assumendo il costo dichiarato;</w:t>
      </w:r>
    </w:p>
    <w:p w14:paraId="4ADDEC8A" w14:textId="32787CB6" w:rsidR="00B52694" w:rsidRPr="00AB6C3E" w:rsidRDefault="00F37EF2" w:rsidP="00E34CBB">
      <w:pPr>
        <w:pStyle w:val="Paragrafoelenco"/>
        <w:numPr>
          <w:ilvl w:val="3"/>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B52694" w:rsidRPr="00AB6C3E">
        <w:rPr>
          <w:rFonts w:ascii="Times New Roman" w:eastAsiaTheme="minorEastAsia" w:hAnsi="Times New Roman" w:cs="Times New Roman"/>
        </w:rPr>
        <w:t>er</w:t>
      </w:r>
      <w:proofErr w:type="gramEnd"/>
      <w:r w:rsidR="00B52694" w:rsidRPr="00AB6C3E">
        <w:rPr>
          <w:rFonts w:ascii="Times New Roman" w:eastAsiaTheme="minorEastAsia" w:hAnsi="Times New Roman" w:cs="Times New Roman"/>
        </w:rPr>
        <w:t xml:space="preserve"> ciascuna voce di immobilizzazione o credito o rimanenza, in caso di valore a consuntivo dichiarato dal gestore nel suo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 xml:space="preserve">aggiornato trasmesso alla committenza ai sensi del presente allegato, superiore a quello del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di offerta, assumendo il valore così come ricalcolato sulla base dei rischi effettivamente in capo a Regione e indicati nel presente documento;</w:t>
      </w:r>
    </w:p>
    <w:p w14:paraId="0D1E2495" w14:textId="0CE99CD4" w:rsidR="00B52694" w:rsidRPr="00AB6C3E" w:rsidRDefault="00F37EF2" w:rsidP="00E34CBB">
      <w:pPr>
        <w:pStyle w:val="Paragrafoelenco"/>
        <w:numPr>
          <w:ilvl w:val="3"/>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B52694" w:rsidRPr="00AB6C3E">
        <w:rPr>
          <w:rFonts w:ascii="Times New Roman" w:eastAsiaTheme="minorEastAsia" w:hAnsi="Times New Roman" w:cs="Times New Roman"/>
        </w:rPr>
        <w:t>er</w:t>
      </w:r>
      <w:proofErr w:type="gramEnd"/>
      <w:r w:rsidR="00B52694" w:rsidRPr="00AB6C3E">
        <w:rPr>
          <w:rFonts w:ascii="Times New Roman" w:eastAsiaTheme="minorEastAsia" w:hAnsi="Times New Roman" w:cs="Times New Roman"/>
        </w:rPr>
        <w:t xml:space="preserve"> ciascuna voce di debito, in caso di valore a consuntivo dichiarato dal gestore nel suo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 xml:space="preserve">aggiornato trasmesso alla committenza ai sensi del presente allegato, superiore a quello del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di offerta, assumendo il costo dichiarato;</w:t>
      </w:r>
    </w:p>
    <w:p w14:paraId="586E3155" w14:textId="0596DD93" w:rsidR="00B52694" w:rsidRPr="00AB6C3E" w:rsidRDefault="00F37EF2" w:rsidP="00E34CBB">
      <w:pPr>
        <w:pStyle w:val="Paragrafoelenco"/>
        <w:numPr>
          <w:ilvl w:val="3"/>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B52694" w:rsidRPr="00AB6C3E">
        <w:rPr>
          <w:rFonts w:ascii="Times New Roman" w:eastAsiaTheme="minorEastAsia" w:hAnsi="Times New Roman" w:cs="Times New Roman"/>
        </w:rPr>
        <w:t>er</w:t>
      </w:r>
      <w:proofErr w:type="gramEnd"/>
      <w:r w:rsidR="00B52694" w:rsidRPr="00AB6C3E">
        <w:rPr>
          <w:rFonts w:ascii="Times New Roman" w:eastAsiaTheme="minorEastAsia" w:hAnsi="Times New Roman" w:cs="Times New Roman"/>
        </w:rPr>
        <w:t xml:space="preserve"> ciascuna voce di debito, in caso di valore a consuntivo dichiarato dal gestore nel suo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 xml:space="preserve">aggiornato trasmesso alla committenza ai sensi del presente allegato, inferiore a quello del </w:t>
      </w:r>
      <w:r w:rsidRPr="00AB6C3E">
        <w:rPr>
          <w:rFonts w:ascii="Times New Roman" w:eastAsiaTheme="minorEastAsia" w:hAnsi="Times New Roman" w:cs="Times New Roman"/>
        </w:rPr>
        <w:t xml:space="preserve">Piano Economico Finanziario </w:t>
      </w:r>
      <w:r w:rsidR="00B52694" w:rsidRPr="00AB6C3E">
        <w:rPr>
          <w:rFonts w:ascii="Times New Roman" w:eastAsiaTheme="minorEastAsia" w:hAnsi="Times New Roman" w:cs="Times New Roman"/>
        </w:rPr>
        <w:t>di offerta, assumendo il valore così come ricalcolato sulla base dei rischi effettivamente in capo a Regione e indicati nel presente documento;</w:t>
      </w:r>
    </w:p>
    <w:p w14:paraId="7DB182BB" w14:textId="517B6CDB" w:rsidR="00E34CBB" w:rsidRPr="00AB6C3E" w:rsidRDefault="00E34CBB" w:rsidP="00E34CBB">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con</w:t>
      </w:r>
      <w:proofErr w:type="gramEnd"/>
      <w:r w:rsidRPr="00AB6C3E">
        <w:rPr>
          <w:rFonts w:ascii="Times New Roman" w:eastAsiaTheme="minorEastAsia" w:hAnsi="Times New Roman" w:cs="Times New Roman"/>
        </w:rPr>
        <w:t xml:space="preserve"> riferimento ai periodi a preventivo si assumeranno le previsioni di stima del gestore contenute nel </w:t>
      </w:r>
      <w:r w:rsidR="00F37EF2" w:rsidRPr="00AB6C3E">
        <w:rPr>
          <w:rFonts w:ascii="Times New Roman" w:eastAsiaTheme="minorEastAsia" w:hAnsi="Times New Roman" w:cs="Times New Roman"/>
        </w:rPr>
        <w:t xml:space="preserve">Piano Economico Finanziario </w:t>
      </w:r>
      <w:r w:rsidRPr="00AB6C3E">
        <w:rPr>
          <w:rFonts w:ascii="Times New Roman" w:eastAsiaTheme="minorEastAsia" w:hAnsi="Times New Roman" w:cs="Times New Roman"/>
        </w:rPr>
        <w:t>aggiornato, posta la verifica di coerenza e congruità con i dati di mercato e la verifica delle assunzioni alla base delle stime da effettuarsi da Regione</w:t>
      </w:r>
      <w:r w:rsidR="00F37EF2" w:rsidRPr="00AB6C3E">
        <w:rPr>
          <w:rFonts w:ascii="Times New Roman" w:eastAsiaTheme="minorEastAsia" w:hAnsi="Times New Roman" w:cs="Times New Roman"/>
        </w:rPr>
        <w:t>;</w:t>
      </w:r>
    </w:p>
    <w:p w14:paraId="3D726935" w14:textId="6678B17E" w:rsidR="00B52694" w:rsidRPr="00AB6C3E" w:rsidRDefault="00B52694" w:rsidP="00AC4A44">
      <w:pPr>
        <w:pStyle w:val="Paragrafoelenco"/>
        <w:numPr>
          <w:ilvl w:val="1"/>
          <w:numId w:val="19"/>
        </w:numPr>
        <w:spacing w:line="288" w:lineRule="auto"/>
        <w:jc w:val="both"/>
        <w:rPr>
          <w:rFonts w:ascii="Times New Roman" w:hAnsi="Times New Roman" w:cs="Times New Roman"/>
        </w:rPr>
      </w:pPr>
      <m:oMath>
        <m:r>
          <w:rPr>
            <w:rFonts w:ascii="Cambria Math" w:hAnsi="Cambria Math" w:cs="Times New Roman"/>
          </w:rPr>
          <m:t>WACC</m:t>
        </m:r>
      </m:oMath>
      <w:r w:rsidRPr="00AB6C3E">
        <w:rPr>
          <w:rFonts w:ascii="Times New Roman" w:eastAsiaTheme="minorEastAsia" w:hAnsi="Times New Roman" w:cs="Times New Roman"/>
        </w:rPr>
        <w:t xml:space="preserve"> </w:t>
      </w:r>
      <w:proofErr w:type="gramStart"/>
      <w:r w:rsidRPr="00AB6C3E">
        <w:rPr>
          <w:rFonts w:ascii="Times New Roman" w:eastAsiaTheme="minorEastAsia" w:hAnsi="Times New Roman" w:cs="Times New Roman"/>
        </w:rPr>
        <w:t>pari</w:t>
      </w:r>
      <w:proofErr w:type="gramEnd"/>
      <w:r w:rsidRPr="00AB6C3E">
        <w:rPr>
          <w:rFonts w:ascii="Times New Roman" w:eastAsiaTheme="minorEastAsia" w:hAnsi="Times New Roman" w:cs="Times New Roman"/>
        </w:rPr>
        <w:t xml:space="preserve"> a quello di aggiudicazione cioè pari a </w:t>
      </w:r>
      <w:r w:rsidR="00F37EF2" w:rsidRPr="00AB6C3E">
        <w:rPr>
          <w:rFonts w:ascii="Times New Roman" w:eastAsiaTheme="minorEastAsia" w:hAnsi="Times New Roman" w:cs="Times New Roman"/>
        </w:rPr>
        <w:t>5,4</w:t>
      </w:r>
      <w:r w:rsidRPr="00AB6C3E">
        <w:rPr>
          <w:rFonts w:ascii="Times New Roman" w:eastAsiaTheme="minorEastAsia" w:hAnsi="Times New Roman" w:cs="Times New Roman"/>
        </w:rPr>
        <w:t>%</w:t>
      </w:r>
      <w:r w:rsidR="00F37EF2" w:rsidRPr="00AB6C3E">
        <w:rPr>
          <w:rFonts w:ascii="Times New Roman" w:eastAsiaTheme="minorEastAsia" w:hAnsi="Times New Roman" w:cs="Times New Roman"/>
        </w:rPr>
        <w:t>;</w:t>
      </w:r>
    </w:p>
    <w:p w14:paraId="21558268" w14:textId="16EE7B61" w:rsidR="008E07E4" w:rsidRPr="00AB6C3E" w:rsidRDefault="00473F0D" w:rsidP="00737866">
      <w:pPr>
        <w:pStyle w:val="Paragrafoelenco"/>
        <w:numPr>
          <w:ilvl w:val="0"/>
          <w:numId w:val="19"/>
        </w:numPr>
        <w:spacing w:line="288" w:lineRule="auto"/>
        <w:jc w:val="both"/>
        <w:rPr>
          <w:rFonts w:ascii="Times New Roman" w:hAnsi="Times New Roman" w:cs="Times New Roman"/>
          <w:i/>
        </w:rPr>
      </w:pPr>
      <m:oMath>
        <m:sSubSup>
          <m:sSubSupPr>
            <m:ctrlPr>
              <w:rPr>
                <w:rFonts w:ascii="Cambria Math" w:hAnsi="Cambria Math" w:cs="Times New Roman"/>
                <w:i/>
              </w:rPr>
            </m:ctrlPr>
          </m:sSubSupPr>
          <m:e>
            <m:r>
              <w:rPr>
                <w:rFonts w:ascii="Cambria Math" w:hAnsi="Cambria Math" w:cs="Times New Roman"/>
              </w:rPr>
              <m:t>Ricavi</m:t>
            </m:r>
          </m:e>
          <m:sub>
            <m:r>
              <w:rPr>
                <w:rFonts w:ascii="Cambria Math" w:hAnsi="Cambria Math" w:cs="Times New Roman"/>
              </w:rPr>
              <m:t>new</m:t>
            </m:r>
          </m:sub>
          <m:sup>
            <m:r>
              <w:rPr>
                <w:rFonts w:ascii="Cambria Math" w:hAnsi="Cambria Math" w:cs="Times New Roman"/>
              </w:rPr>
              <m:t>n</m:t>
            </m:r>
          </m:sup>
        </m:sSubSup>
      </m:oMath>
      <w:r w:rsidR="00F3102E" w:rsidRPr="00AB6C3E">
        <w:rPr>
          <w:rFonts w:ascii="Times New Roman" w:eastAsiaTheme="minorEastAsia" w:hAnsi="Times New Roman" w:cs="Times New Roman"/>
        </w:rPr>
        <w:t xml:space="preserve"> </w:t>
      </w:r>
      <w:proofErr w:type="gramStart"/>
      <w:r w:rsidR="00E34CBB" w:rsidRPr="00AB6C3E">
        <w:rPr>
          <w:rFonts w:ascii="Times New Roman" w:eastAsiaTheme="minorEastAsia" w:hAnsi="Times New Roman" w:cs="Times New Roman"/>
        </w:rPr>
        <w:t>sono</w:t>
      </w:r>
      <w:proofErr w:type="gramEnd"/>
      <w:r w:rsidR="00E34CBB" w:rsidRPr="00AB6C3E">
        <w:rPr>
          <w:rFonts w:ascii="Times New Roman" w:eastAsiaTheme="minorEastAsia" w:hAnsi="Times New Roman" w:cs="Times New Roman"/>
        </w:rPr>
        <w:t xml:space="preserve"> i nuovi ricavi da traffico e diversi per l’anno n, come dettagliati nel prospetto del </w:t>
      </w:r>
      <w:r w:rsidR="00F37EF2" w:rsidRPr="00AB6C3E">
        <w:rPr>
          <w:rFonts w:ascii="Times New Roman" w:eastAsiaTheme="minorEastAsia" w:hAnsi="Times New Roman" w:cs="Times New Roman"/>
        </w:rPr>
        <w:t xml:space="preserve">Piano Economico Finanziario </w:t>
      </w:r>
      <w:r w:rsidR="00E34CBB" w:rsidRPr="00AB6C3E">
        <w:rPr>
          <w:rFonts w:ascii="Times New Roman" w:eastAsiaTheme="minorEastAsia" w:hAnsi="Times New Roman" w:cs="Times New Roman"/>
        </w:rPr>
        <w:t>di offerta d</w:t>
      </w:r>
      <w:r w:rsidR="00F37EF2" w:rsidRPr="00AB6C3E">
        <w:rPr>
          <w:rFonts w:ascii="Times New Roman" w:eastAsiaTheme="minorEastAsia" w:hAnsi="Times New Roman" w:cs="Times New Roman"/>
        </w:rPr>
        <w:t>e</w:t>
      </w:r>
      <w:r w:rsidR="00E34CBB" w:rsidRPr="00AB6C3E">
        <w:rPr>
          <w:rFonts w:ascii="Times New Roman" w:eastAsiaTheme="minorEastAsia" w:hAnsi="Times New Roman" w:cs="Times New Roman"/>
        </w:rPr>
        <w:t>l gestore, sulla base dei quali calcolare la compensazione che assumono i seguenti valori:</w:t>
      </w:r>
    </w:p>
    <w:p w14:paraId="1DDDB730" w14:textId="572AAFD5" w:rsidR="00E34CBB" w:rsidRPr="00AB6C3E" w:rsidRDefault="00F37EF2" w:rsidP="00E34CBB">
      <w:pPr>
        <w:pStyle w:val="Paragrafoelenco"/>
        <w:numPr>
          <w:ilvl w:val="1"/>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c</w:t>
      </w:r>
      <w:r w:rsidR="00E34CBB" w:rsidRPr="00AB6C3E">
        <w:rPr>
          <w:rFonts w:ascii="Times New Roman" w:eastAsiaTheme="minorEastAsia" w:hAnsi="Times New Roman" w:cs="Times New Roman"/>
        </w:rPr>
        <w:t>on</w:t>
      </w:r>
      <w:proofErr w:type="gramEnd"/>
      <w:r w:rsidR="00E34CBB" w:rsidRPr="00AB6C3E">
        <w:rPr>
          <w:rFonts w:ascii="Times New Roman" w:eastAsiaTheme="minorEastAsia" w:hAnsi="Times New Roman" w:cs="Times New Roman"/>
        </w:rPr>
        <w:t xml:space="preserve"> riferimento ai periodi a consuntivo:</w:t>
      </w:r>
    </w:p>
    <w:p w14:paraId="5DC96C0D" w14:textId="0EA8F023" w:rsidR="00E34CBB" w:rsidRPr="00AB6C3E" w:rsidRDefault="002539E1" w:rsidP="00E34CBB">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E34CBB" w:rsidRPr="00AB6C3E">
        <w:rPr>
          <w:rFonts w:ascii="Times New Roman" w:eastAsiaTheme="minorEastAsia" w:hAnsi="Times New Roman" w:cs="Times New Roman"/>
        </w:rPr>
        <w:t>er</w:t>
      </w:r>
      <w:proofErr w:type="gramEnd"/>
      <w:r w:rsidR="00E34CBB" w:rsidRPr="00AB6C3E">
        <w:rPr>
          <w:rFonts w:ascii="Times New Roman" w:eastAsiaTheme="minorEastAsia" w:hAnsi="Times New Roman" w:cs="Times New Roman"/>
        </w:rPr>
        <w:t xml:space="preserve"> ciascuna voce di ricavo, in caso di valore a consuntivo dichiarato dal gestore nel suo </w:t>
      </w:r>
      <w:r w:rsidR="00F37EF2" w:rsidRPr="00AB6C3E">
        <w:rPr>
          <w:rFonts w:ascii="Times New Roman" w:eastAsiaTheme="minorEastAsia" w:hAnsi="Times New Roman" w:cs="Times New Roman"/>
        </w:rPr>
        <w:t xml:space="preserve">Piano Economico Finanziario </w:t>
      </w:r>
      <w:r w:rsidR="00E34CBB" w:rsidRPr="00AB6C3E">
        <w:rPr>
          <w:rFonts w:ascii="Times New Roman" w:eastAsiaTheme="minorEastAsia" w:hAnsi="Times New Roman" w:cs="Times New Roman"/>
        </w:rPr>
        <w:t xml:space="preserve">aggiornato trasmesso alla committenza ai sensi del presente allegato, superiore a quello del </w:t>
      </w:r>
      <w:r w:rsidRPr="00AB6C3E">
        <w:rPr>
          <w:rFonts w:ascii="Times New Roman" w:eastAsiaTheme="minorEastAsia" w:hAnsi="Times New Roman" w:cs="Times New Roman"/>
        </w:rPr>
        <w:t xml:space="preserve">Piano Economico Finanziario </w:t>
      </w:r>
      <w:r w:rsidR="00E34CBB" w:rsidRPr="00AB6C3E">
        <w:rPr>
          <w:rFonts w:ascii="Times New Roman" w:eastAsiaTheme="minorEastAsia" w:hAnsi="Times New Roman" w:cs="Times New Roman"/>
        </w:rPr>
        <w:t xml:space="preserve">di offerta, si assumerà il </w:t>
      </w:r>
      <w:r w:rsidRPr="00AB6C3E">
        <w:rPr>
          <w:rFonts w:ascii="Times New Roman" w:eastAsiaTheme="minorEastAsia" w:hAnsi="Times New Roman" w:cs="Times New Roman"/>
        </w:rPr>
        <w:t xml:space="preserve">ricavo </w:t>
      </w:r>
      <w:r w:rsidR="00E34CBB" w:rsidRPr="00AB6C3E">
        <w:rPr>
          <w:rFonts w:ascii="Times New Roman" w:eastAsiaTheme="minorEastAsia" w:hAnsi="Times New Roman" w:cs="Times New Roman"/>
        </w:rPr>
        <w:t>dichiarato;</w:t>
      </w:r>
    </w:p>
    <w:p w14:paraId="134310BB" w14:textId="3B0D624D" w:rsidR="00E34CBB" w:rsidRPr="00AB6C3E" w:rsidRDefault="002539E1" w:rsidP="00E34CBB">
      <w:pPr>
        <w:pStyle w:val="Paragrafoelenco"/>
        <w:numPr>
          <w:ilvl w:val="2"/>
          <w:numId w:val="19"/>
        </w:numPr>
        <w:spacing w:line="288" w:lineRule="auto"/>
        <w:jc w:val="both"/>
        <w:rPr>
          <w:rFonts w:ascii="Times New Roman" w:hAnsi="Times New Roman" w:cs="Times New Roman"/>
        </w:rPr>
      </w:pPr>
      <w:proofErr w:type="gramStart"/>
      <w:r w:rsidRPr="00AB6C3E">
        <w:rPr>
          <w:rFonts w:ascii="Times New Roman" w:eastAsiaTheme="minorEastAsia" w:hAnsi="Times New Roman" w:cs="Times New Roman"/>
        </w:rPr>
        <w:t>p</w:t>
      </w:r>
      <w:r w:rsidR="00E34CBB" w:rsidRPr="00AB6C3E">
        <w:rPr>
          <w:rFonts w:ascii="Times New Roman" w:eastAsiaTheme="minorEastAsia" w:hAnsi="Times New Roman" w:cs="Times New Roman"/>
        </w:rPr>
        <w:t>er</w:t>
      </w:r>
      <w:proofErr w:type="gramEnd"/>
      <w:r w:rsidR="00E34CBB" w:rsidRPr="00AB6C3E">
        <w:rPr>
          <w:rFonts w:ascii="Times New Roman" w:eastAsiaTheme="minorEastAsia" w:hAnsi="Times New Roman" w:cs="Times New Roman"/>
        </w:rPr>
        <w:t xml:space="preserve"> ciascuna voce di ricavo, in caso di valore a consuntivo dichiarato dal gestore nel suo </w:t>
      </w:r>
      <w:r w:rsidRPr="00AB6C3E">
        <w:rPr>
          <w:rFonts w:ascii="Times New Roman" w:eastAsiaTheme="minorEastAsia" w:hAnsi="Times New Roman" w:cs="Times New Roman"/>
        </w:rPr>
        <w:t xml:space="preserve">Piano Economico Finanziario </w:t>
      </w:r>
      <w:r w:rsidR="00E34CBB" w:rsidRPr="00AB6C3E">
        <w:rPr>
          <w:rFonts w:ascii="Times New Roman" w:eastAsiaTheme="minorEastAsia" w:hAnsi="Times New Roman" w:cs="Times New Roman"/>
        </w:rPr>
        <w:t xml:space="preserve">aggiornato trasmesso alla committenza ai sensi del presente allegato, inferiore a quello del </w:t>
      </w:r>
      <w:r w:rsidRPr="00AB6C3E">
        <w:rPr>
          <w:rFonts w:ascii="Times New Roman" w:eastAsiaTheme="minorEastAsia" w:hAnsi="Times New Roman" w:cs="Times New Roman"/>
        </w:rPr>
        <w:t xml:space="preserve">Piano Economico Finanziario </w:t>
      </w:r>
      <w:r w:rsidR="00E34CBB" w:rsidRPr="00AB6C3E">
        <w:rPr>
          <w:rFonts w:ascii="Times New Roman" w:eastAsiaTheme="minorEastAsia" w:hAnsi="Times New Roman" w:cs="Times New Roman"/>
        </w:rPr>
        <w:t xml:space="preserve">di offerta, si assumerà il </w:t>
      </w:r>
      <w:r w:rsidR="00071A0B" w:rsidRPr="00AB6C3E">
        <w:rPr>
          <w:rFonts w:ascii="Times New Roman" w:eastAsiaTheme="minorEastAsia" w:hAnsi="Times New Roman" w:cs="Times New Roman"/>
        </w:rPr>
        <w:t xml:space="preserve">ricavo </w:t>
      </w:r>
      <w:r w:rsidR="00E34CBB" w:rsidRPr="00AB6C3E">
        <w:rPr>
          <w:rFonts w:ascii="Times New Roman" w:eastAsiaTheme="minorEastAsia" w:hAnsi="Times New Roman" w:cs="Times New Roman"/>
        </w:rPr>
        <w:t>così come ricalcolato sulla base dei rischi effettivamente in capo a Regione e indicati nel presente documento;</w:t>
      </w:r>
    </w:p>
    <w:p w14:paraId="0EE59FE4" w14:textId="2E2BCAE6" w:rsidR="00E34CBB" w:rsidRPr="00AB6C3E" w:rsidRDefault="00E34CBB" w:rsidP="00E34CBB">
      <w:pPr>
        <w:pStyle w:val="Paragrafoelenco"/>
        <w:numPr>
          <w:ilvl w:val="1"/>
          <w:numId w:val="19"/>
        </w:numPr>
        <w:spacing w:line="288" w:lineRule="auto"/>
        <w:jc w:val="both"/>
        <w:rPr>
          <w:rFonts w:ascii="Times New Roman" w:hAnsi="Times New Roman" w:cs="Times New Roman"/>
        </w:rPr>
      </w:pPr>
      <w:r w:rsidRPr="00AB6C3E">
        <w:rPr>
          <w:rFonts w:ascii="Times New Roman" w:eastAsiaTheme="minorEastAsia" w:hAnsi="Times New Roman" w:cs="Times New Roman"/>
        </w:rPr>
        <w:t xml:space="preserve">Con riferimento ai periodi a preventivo si assumeranno le previsioni di stima del gestore contenute nel </w:t>
      </w:r>
      <w:r w:rsidR="00071A0B" w:rsidRPr="00AB6C3E">
        <w:rPr>
          <w:rFonts w:ascii="Times New Roman" w:eastAsiaTheme="minorEastAsia" w:hAnsi="Times New Roman" w:cs="Times New Roman"/>
        </w:rPr>
        <w:t xml:space="preserve">Piano </w:t>
      </w:r>
      <w:r w:rsidRPr="00AB6C3E">
        <w:rPr>
          <w:rFonts w:ascii="Times New Roman" w:eastAsiaTheme="minorEastAsia" w:hAnsi="Times New Roman" w:cs="Times New Roman"/>
        </w:rPr>
        <w:t>aggiornato, posta la verifica di coerenza e congruità con i dati di mercato e la verifica delle assunzioni alla base delle stime da effettuarsi da Regione</w:t>
      </w:r>
      <w:r w:rsidR="00071A0B" w:rsidRPr="00AB6C3E">
        <w:rPr>
          <w:rFonts w:ascii="Times New Roman" w:eastAsiaTheme="minorEastAsia" w:hAnsi="Times New Roman" w:cs="Times New Roman"/>
        </w:rPr>
        <w:t>;</w:t>
      </w:r>
    </w:p>
    <w:p w14:paraId="24DCEFAC" w14:textId="6282A74A" w:rsidR="00BD2C59" w:rsidRPr="00AB6C3E" w:rsidRDefault="00473F0D" w:rsidP="00BD2C59">
      <w:pPr>
        <w:pStyle w:val="Paragrafoelenco"/>
        <w:numPr>
          <w:ilvl w:val="0"/>
          <w:numId w:val="19"/>
        </w:numPr>
        <w:spacing w:line="288" w:lineRule="auto"/>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Eff</m:t>
            </m:r>
          </m:e>
          <m:sub>
            <m:r>
              <w:rPr>
                <w:rFonts w:ascii="Cambria Math" w:hAnsi="Cambria Math" w:cs="Times New Roman"/>
              </w:rPr>
              <m:t>G</m:t>
            </m:r>
          </m:sub>
          <m:sup>
            <m:r>
              <w:rPr>
                <w:rFonts w:ascii="Cambria Math" w:hAnsi="Cambria Math" w:cs="Times New Roman"/>
              </w:rPr>
              <m:t>n</m:t>
            </m:r>
          </m:sup>
        </m:sSubSup>
      </m:oMath>
      <w:r w:rsidR="00BD2C59" w:rsidRPr="00AB6C3E">
        <w:rPr>
          <w:rFonts w:ascii="Times New Roman" w:eastAsiaTheme="minorEastAsia" w:hAnsi="Times New Roman" w:cs="Times New Roman"/>
        </w:rPr>
        <w:t xml:space="preserve"> </w:t>
      </w:r>
      <w:proofErr w:type="gramStart"/>
      <w:r w:rsidR="00BD2C59" w:rsidRPr="00AB6C3E">
        <w:rPr>
          <w:rFonts w:ascii="Times New Roman" w:eastAsiaTheme="minorEastAsia" w:hAnsi="Times New Roman" w:cs="Times New Roman"/>
        </w:rPr>
        <w:t>è</w:t>
      </w:r>
      <w:proofErr w:type="gramEnd"/>
      <w:r w:rsidR="00BD2C59" w:rsidRPr="00AB6C3E">
        <w:rPr>
          <w:rFonts w:ascii="Times New Roman" w:eastAsiaTheme="minorEastAsia" w:hAnsi="Times New Roman" w:cs="Times New Roman"/>
        </w:rPr>
        <w:t xml:space="preserve"> la quota di efficientamento gestionale eventualmente riconosciuta al gestore, con riferimento al solo anno n, sulla base di quanto indicato nel presente documento.</w:t>
      </w:r>
    </w:p>
    <w:p w14:paraId="6705E465" w14:textId="77777777" w:rsidR="00421AD5" w:rsidRPr="00AB6C3E" w:rsidRDefault="00C15C29" w:rsidP="00067C50">
      <w:pPr>
        <w:spacing w:line="288" w:lineRule="auto"/>
        <w:jc w:val="both"/>
        <w:rPr>
          <w:rFonts w:ascii="Times New Roman" w:hAnsi="Times New Roman" w:cs="Times New Roman"/>
        </w:rPr>
      </w:pPr>
      <w:r w:rsidRPr="00AB6C3E">
        <w:rPr>
          <w:rFonts w:ascii="Times New Roman" w:hAnsi="Times New Roman" w:cs="Times New Roman"/>
        </w:rPr>
        <w:lastRenderedPageBreak/>
        <w:t>Come indicato nella Misura 18.4 dell’Allegato 1 alla deliberazione 22/2019 di ART</w:t>
      </w:r>
      <w:r w:rsidR="001714B0" w:rsidRPr="00AB6C3E">
        <w:rPr>
          <w:rFonts w:ascii="Times New Roman" w:hAnsi="Times New Roman" w:cs="Times New Roman"/>
        </w:rPr>
        <w:t xml:space="preserve">, a seguito della verifica </w:t>
      </w:r>
      <w:r w:rsidR="00421AD5" w:rsidRPr="00AB6C3E">
        <w:rPr>
          <w:rFonts w:ascii="Times New Roman" w:hAnsi="Times New Roman" w:cs="Times New Roman"/>
        </w:rPr>
        <w:t>di cui ai periodi precedenti:</w:t>
      </w:r>
    </w:p>
    <w:p w14:paraId="44D6C630" w14:textId="448615FA" w:rsidR="00C15C29" w:rsidRPr="00AB6C3E" w:rsidRDefault="001714B0" w:rsidP="00421AD5">
      <w:pPr>
        <w:pStyle w:val="Paragrafoelenco"/>
        <w:numPr>
          <w:ilvl w:val="0"/>
          <w:numId w:val="14"/>
        </w:numPr>
        <w:spacing w:line="288" w:lineRule="auto"/>
        <w:jc w:val="both"/>
        <w:rPr>
          <w:rFonts w:ascii="Times New Roman" w:hAnsi="Times New Roman" w:cs="Times New Roman"/>
        </w:rPr>
      </w:pPr>
      <w:proofErr w:type="gramStart"/>
      <w:r w:rsidRPr="00AB6C3E">
        <w:rPr>
          <w:rFonts w:ascii="Times New Roman" w:hAnsi="Times New Roman" w:cs="Times New Roman"/>
        </w:rPr>
        <w:t>dopo</w:t>
      </w:r>
      <w:proofErr w:type="gramEnd"/>
      <w:r w:rsidRPr="00AB6C3E">
        <w:rPr>
          <w:rFonts w:ascii="Times New Roman" w:hAnsi="Times New Roman" w:cs="Times New Roman"/>
        </w:rPr>
        <w:t xml:space="preserve"> il primo periodo </w:t>
      </w:r>
      <w:proofErr w:type="spellStart"/>
      <w:r w:rsidRPr="00AB6C3E">
        <w:rPr>
          <w:rFonts w:ascii="Times New Roman" w:hAnsi="Times New Roman" w:cs="Times New Roman"/>
        </w:rPr>
        <w:t>regolatorio</w:t>
      </w:r>
      <w:proofErr w:type="spellEnd"/>
      <w:r w:rsidR="00C15C29" w:rsidRPr="00AB6C3E">
        <w:rPr>
          <w:rFonts w:ascii="Times New Roman" w:hAnsi="Times New Roman" w:cs="Times New Roman"/>
        </w:rPr>
        <w:t xml:space="preserve">: </w:t>
      </w:r>
    </w:p>
    <w:p w14:paraId="4F5C61E6" w14:textId="1D0E3A80" w:rsidR="001714B0" w:rsidRPr="00AB6C3E" w:rsidRDefault="001714B0" w:rsidP="001714B0">
      <w:pPr>
        <w:pStyle w:val="Paragrafoelenco"/>
        <w:numPr>
          <w:ilvl w:val="0"/>
          <w:numId w:val="12"/>
        </w:numPr>
        <w:spacing w:line="288" w:lineRule="auto"/>
        <w:jc w:val="both"/>
        <w:rPr>
          <w:rFonts w:ascii="Times New Roman" w:hAnsi="Times New Roman" w:cs="Times New Roman"/>
        </w:rPr>
      </w:pPr>
      <w:proofErr w:type="gramStart"/>
      <w:r w:rsidRPr="00AB6C3E">
        <w:rPr>
          <w:rFonts w:ascii="Times New Roman" w:hAnsi="Times New Roman" w:cs="Times New Roman"/>
        </w:rPr>
        <w:t>in</w:t>
      </w:r>
      <w:proofErr w:type="gramEnd"/>
      <w:r w:rsidRPr="00AB6C3E">
        <w:rPr>
          <w:rFonts w:ascii="Times New Roman" w:hAnsi="Times New Roman" w:cs="Times New Roman"/>
        </w:rPr>
        <w:t xml:space="preserve"> caso di sovra-compensazione la </w:t>
      </w:r>
      <w:r w:rsidR="00C01812" w:rsidRPr="00AB6C3E">
        <w:rPr>
          <w:rFonts w:ascii="Times New Roman" w:hAnsi="Times New Roman" w:cs="Times New Roman"/>
        </w:rPr>
        <w:t>Regione</w:t>
      </w:r>
      <w:r w:rsidRPr="00AB6C3E">
        <w:rPr>
          <w:rFonts w:ascii="Times New Roman" w:hAnsi="Times New Roman" w:cs="Times New Roman"/>
        </w:rPr>
        <w:t xml:space="preserve"> provvederà al recupero delle somme pagate in eccesso ne</w:t>
      </w:r>
      <w:r w:rsidR="00DF5A49" w:rsidRPr="00AB6C3E">
        <w:rPr>
          <w:rFonts w:ascii="Times New Roman" w:hAnsi="Times New Roman" w:cs="Times New Roman"/>
        </w:rPr>
        <w:t>l precedente anno</w:t>
      </w:r>
      <w:r w:rsidRPr="00AB6C3E">
        <w:rPr>
          <w:rFonts w:ascii="Times New Roman" w:hAnsi="Times New Roman" w:cs="Times New Roman"/>
        </w:rPr>
        <w:t xml:space="preserve"> del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xml:space="preserve"> e alla riduzione delle somme per il successivo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con</w:t>
      </w:r>
      <w:r w:rsidR="00FF207D" w:rsidRPr="00AB6C3E">
        <w:rPr>
          <w:rFonts w:ascii="Times New Roman" w:hAnsi="Times New Roman" w:cs="Times New Roman"/>
        </w:rPr>
        <w:t xml:space="preserve"> valorizzazioni e</w:t>
      </w:r>
      <w:r w:rsidRPr="00AB6C3E">
        <w:rPr>
          <w:rFonts w:ascii="Times New Roman" w:hAnsi="Times New Roman" w:cs="Times New Roman"/>
        </w:rPr>
        <w:t xml:space="preserve"> modalità temporali che permettano la rideterminazione delle condizioni di equilibrio finanziario </w:t>
      </w:r>
      <w:r w:rsidR="00C01812" w:rsidRPr="00AB6C3E">
        <w:rPr>
          <w:rFonts w:ascii="Times New Roman" w:hAnsi="Times New Roman" w:cs="Times New Roman"/>
        </w:rPr>
        <w:t>dell’affidamento;</w:t>
      </w:r>
    </w:p>
    <w:p w14:paraId="3A3E73BB" w14:textId="32371A4D" w:rsidR="00486234" w:rsidRPr="0070329D" w:rsidRDefault="001714B0" w:rsidP="00486234">
      <w:pPr>
        <w:pStyle w:val="Paragrafoelenco"/>
        <w:numPr>
          <w:ilvl w:val="0"/>
          <w:numId w:val="12"/>
        </w:numPr>
        <w:spacing w:line="288" w:lineRule="auto"/>
        <w:jc w:val="both"/>
        <w:rPr>
          <w:rFonts w:ascii="Times New Roman" w:hAnsi="Times New Roman" w:cs="Times New Roman"/>
        </w:rPr>
      </w:pPr>
      <w:proofErr w:type="gramStart"/>
      <w:r w:rsidRPr="00AB6C3E">
        <w:rPr>
          <w:rFonts w:ascii="Times New Roman" w:hAnsi="Times New Roman" w:cs="Times New Roman"/>
        </w:rPr>
        <w:t>in</w:t>
      </w:r>
      <w:proofErr w:type="gramEnd"/>
      <w:r w:rsidRPr="00AB6C3E">
        <w:rPr>
          <w:rFonts w:ascii="Times New Roman" w:hAnsi="Times New Roman" w:cs="Times New Roman"/>
        </w:rPr>
        <w:t xml:space="preserve"> caso di sotto-compensazione</w:t>
      </w:r>
      <w:r w:rsidR="00DF5A49" w:rsidRPr="00AB6C3E">
        <w:rPr>
          <w:rFonts w:ascii="Times New Roman" w:hAnsi="Times New Roman" w:cs="Times New Roman"/>
        </w:rPr>
        <w:t>,</w:t>
      </w:r>
      <w:r w:rsidR="008D5636" w:rsidRPr="00AB6C3E">
        <w:rPr>
          <w:rFonts w:ascii="Times New Roman" w:hAnsi="Times New Roman" w:cs="Times New Roman"/>
        </w:rPr>
        <w:t xml:space="preserve"> </w:t>
      </w:r>
      <w:r w:rsidR="00421AD5" w:rsidRPr="00AB6C3E">
        <w:rPr>
          <w:rFonts w:ascii="Times New Roman" w:hAnsi="Times New Roman" w:cs="Times New Roman"/>
        </w:rPr>
        <w:t>posta la verifica in merito all’allocazione dei rischi illustrata in precedenza</w:t>
      </w:r>
      <w:r w:rsidR="00DF5A49" w:rsidRPr="00AB6C3E">
        <w:rPr>
          <w:rFonts w:ascii="Times New Roman" w:hAnsi="Times New Roman" w:cs="Times New Roman"/>
        </w:rPr>
        <w:t>,</w:t>
      </w:r>
      <w:r w:rsidR="00421AD5" w:rsidRPr="00AB6C3E">
        <w:rPr>
          <w:rFonts w:ascii="Times New Roman" w:hAnsi="Times New Roman" w:cs="Times New Roman"/>
        </w:rPr>
        <w:t xml:space="preserve"> si procederà </w:t>
      </w:r>
      <w:r w:rsidR="00FF207D" w:rsidRPr="00AB6C3E">
        <w:rPr>
          <w:rFonts w:ascii="Times New Roman" w:hAnsi="Times New Roman" w:cs="Times New Roman"/>
        </w:rPr>
        <w:t xml:space="preserve">alla ridefinizione del perimetro dei servizi </w:t>
      </w:r>
      <w:r w:rsidR="0070329D">
        <w:rPr>
          <w:rFonts w:ascii="Times New Roman" w:hAnsi="Times New Roman" w:cs="Times New Roman"/>
        </w:rPr>
        <w:t>e/</w:t>
      </w:r>
      <w:r w:rsidR="00FF207D" w:rsidRPr="00AB6C3E">
        <w:rPr>
          <w:rFonts w:ascii="Times New Roman" w:hAnsi="Times New Roman" w:cs="Times New Roman"/>
        </w:rPr>
        <w:t>o del sistema tariffario</w:t>
      </w:r>
      <w:r w:rsidR="00421AD5" w:rsidRPr="00AB6C3E">
        <w:rPr>
          <w:rFonts w:ascii="Times New Roman" w:hAnsi="Times New Roman" w:cs="Times New Roman"/>
        </w:rPr>
        <w:t xml:space="preserve"> </w:t>
      </w:r>
      <w:r w:rsidR="00486234" w:rsidRPr="00AB6C3E">
        <w:rPr>
          <w:rFonts w:ascii="Times New Roman" w:hAnsi="Times New Roman" w:cs="Times New Roman"/>
        </w:rPr>
        <w:t xml:space="preserve">per il successivo periodo </w:t>
      </w:r>
      <w:proofErr w:type="spellStart"/>
      <w:r w:rsidR="00486234" w:rsidRPr="00AB6C3E">
        <w:rPr>
          <w:rFonts w:ascii="Times New Roman" w:hAnsi="Times New Roman" w:cs="Times New Roman"/>
        </w:rPr>
        <w:t>regolatorio</w:t>
      </w:r>
      <w:proofErr w:type="spellEnd"/>
      <w:r w:rsidR="00486234" w:rsidRPr="00AB6C3E">
        <w:rPr>
          <w:rFonts w:ascii="Times New Roman" w:hAnsi="Times New Roman" w:cs="Times New Roman"/>
        </w:rPr>
        <w:t xml:space="preserve">, </w:t>
      </w:r>
      <w:r w:rsidR="00FF207D" w:rsidRPr="00AB6C3E">
        <w:rPr>
          <w:rFonts w:ascii="Times New Roman" w:hAnsi="Times New Roman" w:cs="Times New Roman"/>
        </w:rPr>
        <w:t>secondo importi e</w:t>
      </w:r>
      <w:r w:rsidR="00486234" w:rsidRPr="00AB6C3E">
        <w:rPr>
          <w:rFonts w:ascii="Times New Roman" w:hAnsi="Times New Roman" w:cs="Times New Roman"/>
        </w:rPr>
        <w:t xml:space="preserve"> modalità temporali che permettano la rideterminazione delle condizioni di equilibri</w:t>
      </w:r>
      <w:r w:rsidR="00137559" w:rsidRPr="00AB6C3E">
        <w:rPr>
          <w:rFonts w:ascii="Times New Roman" w:hAnsi="Times New Roman" w:cs="Times New Roman"/>
        </w:rPr>
        <w:t>o finanziario dell’affidamento</w:t>
      </w:r>
      <w:r w:rsidR="00DF5A49" w:rsidRPr="00AB6C3E">
        <w:rPr>
          <w:rFonts w:ascii="Times New Roman" w:hAnsi="Times New Roman" w:cs="Times New Roman"/>
        </w:rPr>
        <w:t>.</w:t>
      </w:r>
      <w:r w:rsidR="0070329D">
        <w:rPr>
          <w:rFonts w:ascii="Times New Roman" w:hAnsi="Times New Roman" w:cs="Times New Roman"/>
        </w:rPr>
        <w:t xml:space="preserve"> </w:t>
      </w:r>
      <w:r w:rsidR="0070329D" w:rsidRPr="0070329D">
        <w:rPr>
          <w:rFonts w:ascii="Times New Roman" w:hAnsi="Times New Roman" w:cs="Times New Roman"/>
        </w:rPr>
        <w:t xml:space="preserve">Sono esclusi aumenti della </w:t>
      </w:r>
      <w:proofErr w:type="gramStart"/>
      <w:r w:rsidR="0070329D" w:rsidRPr="0070329D">
        <w:rPr>
          <w:rFonts w:ascii="Times New Roman" w:hAnsi="Times New Roman" w:cs="Times New Roman"/>
        </w:rPr>
        <w:t>misura  della</w:t>
      </w:r>
      <w:proofErr w:type="gramEnd"/>
      <w:r w:rsidR="0070329D" w:rsidRPr="0070329D">
        <w:rPr>
          <w:rFonts w:ascii="Times New Roman" w:hAnsi="Times New Roman" w:cs="Times New Roman"/>
        </w:rPr>
        <w:t xml:space="preserve"> compensazione  massima determinata nel contratto di servizio</w:t>
      </w:r>
      <w:r w:rsidR="002539E1" w:rsidRPr="0070329D">
        <w:rPr>
          <w:rFonts w:ascii="Times New Roman" w:hAnsi="Times New Roman" w:cs="Times New Roman"/>
        </w:rPr>
        <w:t>;</w:t>
      </w:r>
    </w:p>
    <w:p w14:paraId="7BA86F50" w14:textId="6F38506F" w:rsidR="00FF207D" w:rsidRPr="00AB6C3E" w:rsidRDefault="00FF207D" w:rsidP="00FF207D">
      <w:pPr>
        <w:pStyle w:val="Paragrafoelenco"/>
        <w:numPr>
          <w:ilvl w:val="0"/>
          <w:numId w:val="14"/>
        </w:numPr>
        <w:spacing w:line="288" w:lineRule="auto"/>
        <w:jc w:val="both"/>
        <w:rPr>
          <w:rFonts w:ascii="Times New Roman" w:hAnsi="Times New Roman" w:cs="Times New Roman"/>
        </w:rPr>
      </w:pPr>
      <w:proofErr w:type="gramStart"/>
      <w:r w:rsidRPr="00AB6C3E">
        <w:rPr>
          <w:rFonts w:ascii="Times New Roman" w:hAnsi="Times New Roman" w:cs="Times New Roman"/>
        </w:rPr>
        <w:t>dopo</w:t>
      </w:r>
      <w:proofErr w:type="gramEnd"/>
      <w:r w:rsidRPr="00AB6C3E">
        <w:rPr>
          <w:rFonts w:ascii="Times New Roman" w:hAnsi="Times New Roman" w:cs="Times New Roman"/>
        </w:rPr>
        <w:t xml:space="preserve"> il secondo ed ultimo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xml:space="preserve">: </w:t>
      </w:r>
    </w:p>
    <w:p w14:paraId="4C239102" w14:textId="1285A134" w:rsidR="00FF207D" w:rsidRPr="00AB6C3E" w:rsidRDefault="00FF207D" w:rsidP="00FF207D">
      <w:pPr>
        <w:pStyle w:val="Paragrafoelenco"/>
        <w:numPr>
          <w:ilvl w:val="0"/>
          <w:numId w:val="12"/>
        </w:numPr>
        <w:spacing w:line="288" w:lineRule="auto"/>
        <w:jc w:val="both"/>
        <w:rPr>
          <w:rFonts w:ascii="Times New Roman" w:hAnsi="Times New Roman" w:cs="Times New Roman"/>
        </w:rPr>
      </w:pPr>
      <w:proofErr w:type="gramStart"/>
      <w:r w:rsidRPr="00AB6C3E">
        <w:rPr>
          <w:rFonts w:ascii="Times New Roman" w:hAnsi="Times New Roman" w:cs="Times New Roman"/>
        </w:rPr>
        <w:t>in</w:t>
      </w:r>
      <w:proofErr w:type="gramEnd"/>
      <w:r w:rsidRPr="00AB6C3E">
        <w:rPr>
          <w:rFonts w:ascii="Times New Roman" w:hAnsi="Times New Roman" w:cs="Times New Roman"/>
        </w:rPr>
        <w:t xml:space="preserve"> caso di sovra-compensazione la </w:t>
      </w:r>
      <w:r w:rsidR="00C01812" w:rsidRPr="00AB6C3E">
        <w:rPr>
          <w:rFonts w:ascii="Times New Roman" w:hAnsi="Times New Roman" w:cs="Times New Roman"/>
        </w:rPr>
        <w:t>Regione</w:t>
      </w:r>
      <w:r w:rsidRPr="00AB6C3E">
        <w:rPr>
          <w:rFonts w:ascii="Times New Roman" w:hAnsi="Times New Roman" w:cs="Times New Roman"/>
        </w:rPr>
        <w:t xml:space="preserve"> provvederà al recupero delle somme pagate in eccesso nei precedenti anni del periodo </w:t>
      </w:r>
      <w:proofErr w:type="spellStart"/>
      <w:r w:rsidRPr="00AB6C3E">
        <w:rPr>
          <w:rFonts w:ascii="Times New Roman" w:hAnsi="Times New Roman" w:cs="Times New Roman"/>
        </w:rPr>
        <w:t>regolatorio</w:t>
      </w:r>
      <w:proofErr w:type="spellEnd"/>
      <w:r w:rsidRPr="00AB6C3E">
        <w:rPr>
          <w:rFonts w:ascii="Times New Roman" w:hAnsi="Times New Roman" w:cs="Times New Roman"/>
        </w:rPr>
        <w:t xml:space="preserve"> a valere sull’ultima rata da riconoscersi al gestore o, ove non capiente a sufficienza</w:t>
      </w:r>
      <w:r w:rsidRPr="0070329D">
        <w:rPr>
          <w:rFonts w:ascii="Times New Roman" w:hAnsi="Times New Roman" w:cs="Times New Roman"/>
        </w:rPr>
        <w:t>,</w:t>
      </w:r>
      <w:r w:rsidR="0070329D" w:rsidRPr="0070329D">
        <w:rPr>
          <w:rFonts w:ascii="Times New Roman" w:hAnsi="Times New Roman" w:cs="Times New Roman"/>
        </w:rPr>
        <w:t xml:space="preserve"> sulla garanzia prestata ex art. 103 del Codice dei Contratti,</w:t>
      </w:r>
      <w:r w:rsidRPr="0070329D">
        <w:rPr>
          <w:rFonts w:ascii="Times New Roman" w:hAnsi="Times New Roman" w:cs="Times New Roman"/>
        </w:rPr>
        <w:t xml:space="preserve"> per</w:t>
      </w:r>
      <w:r w:rsidRPr="00AB6C3E">
        <w:rPr>
          <w:rFonts w:ascii="Times New Roman" w:hAnsi="Times New Roman" w:cs="Times New Roman"/>
        </w:rPr>
        <w:t xml:space="preserve"> un importo tale da permettere la rideterminazione delle condizioni di equilibrio finanziario </w:t>
      </w:r>
      <w:r w:rsidR="00C01812" w:rsidRPr="00AB6C3E">
        <w:rPr>
          <w:rFonts w:ascii="Times New Roman" w:hAnsi="Times New Roman" w:cs="Times New Roman"/>
        </w:rPr>
        <w:t>dell’affidamento</w:t>
      </w:r>
      <w:r w:rsidRPr="00AB6C3E">
        <w:rPr>
          <w:rFonts w:ascii="Times New Roman" w:hAnsi="Times New Roman" w:cs="Times New Roman"/>
        </w:rPr>
        <w:t>;</w:t>
      </w:r>
    </w:p>
    <w:p w14:paraId="10006ED4" w14:textId="1B8F3C6A" w:rsidR="00FF207D" w:rsidRPr="00AB6C3E" w:rsidRDefault="00FF207D" w:rsidP="00FF207D">
      <w:pPr>
        <w:pStyle w:val="Paragrafoelenco"/>
        <w:numPr>
          <w:ilvl w:val="0"/>
          <w:numId w:val="12"/>
        </w:numPr>
        <w:spacing w:line="288" w:lineRule="auto"/>
        <w:jc w:val="both"/>
        <w:rPr>
          <w:rFonts w:ascii="Times New Roman" w:hAnsi="Times New Roman" w:cs="Times New Roman"/>
        </w:rPr>
      </w:pPr>
      <w:proofErr w:type="gramStart"/>
      <w:r w:rsidRPr="00AB6C3E">
        <w:rPr>
          <w:rFonts w:ascii="Times New Roman" w:hAnsi="Times New Roman" w:cs="Times New Roman"/>
        </w:rPr>
        <w:t>in</w:t>
      </w:r>
      <w:proofErr w:type="gramEnd"/>
      <w:r w:rsidRPr="00AB6C3E">
        <w:rPr>
          <w:rFonts w:ascii="Times New Roman" w:hAnsi="Times New Roman" w:cs="Times New Roman"/>
        </w:rPr>
        <w:t xml:space="preserve"> caso di sotto-compensazione</w:t>
      </w:r>
      <w:r w:rsidR="00145478" w:rsidRPr="00AB6C3E">
        <w:rPr>
          <w:rFonts w:ascii="Times New Roman" w:hAnsi="Times New Roman" w:cs="Times New Roman"/>
        </w:rPr>
        <w:t>,</w:t>
      </w:r>
      <w:r w:rsidRPr="00AB6C3E">
        <w:rPr>
          <w:rFonts w:ascii="Times New Roman" w:hAnsi="Times New Roman" w:cs="Times New Roman"/>
        </w:rPr>
        <w:t xml:space="preserve"> posta la verifica in merito all’allocazione dei rischi illustrata in precedenza</w:t>
      </w:r>
      <w:r w:rsidR="00145478" w:rsidRPr="00AB6C3E">
        <w:rPr>
          <w:rFonts w:ascii="Times New Roman" w:hAnsi="Times New Roman" w:cs="Times New Roman"/>
        </w:rPr>
        <w:t>,</w:t>
      </w:r>
      <w:r w:rsidRPr="00AB6C3E">
        <w:rPr>
          <w:rFonts w:ascii="Times New Roman" w:hAnsi="Times New Roman" w:cs="Times New Roman"/>
        </w:rPr>
        <w:t xml:space="preserve"> si procederà all’erogazione di un</w:t>
      </w:r>
      <w:r w:rsidR="0070329D">
        <w:rPr>
          <w:rFonts w:ascii="Times New Roman" w:hAnsi="Times New Roman" w:cs="Times New Roman"/>
        </w:rPr>
        <w:t>a compensazione integrativa</w:t>
      </w:r>
      <w:r w:rsidR="00137559" w:rsidRPr="00AB6C3E">
        <w:rPr>
          <w:rFonts w:ascii="Times New Roman" w:hAnsi="Times New Roman" w:cs="Times New Roman"/>
        </w:rPr>
        <w:t xml:space="preserve"> “una tantum” alla fine dell’affidamento</w:t>
      </w:r>
      <w:r w:rsidRPr="00AB6C3E">
        <w:rPr>
          <w:rFonts w:ascii="Times New Roman" w:hAnsi="Times New Roman" w:cs="Times New Roman"/>
        </w:rPr>
        <w:t>, secondo importi e modalità che permettano la rideterminazione delle condizioni di equilibri</w:t>
      </w:r>
      <w:r w:rsidR="00145478" w:rsidRPr="00AB6C3E">
        <w:rPr>
          <w:rFonts w:ascii="Times New Roman" w:hAnsi="Times New Roman" w:cs="Times New Roman"/>
        </w:rPr>
        <w:t xml:space="preserve">o finanziario </w:t>
      </w:r>
      <w:r w:rsidR="00C01812" w:rsidRPr="00AB6C3E">
        <w:rPr>
          <w:rFonts w:ascii="Times New Roman" w:hAnsi="Times New Roman" w:cs="Times New Roman"/>
        </w:rPr>
        <w:t>dell’affidamento</w:t>
      </w:r>
      <w:r w:rsidR="00145478" w:rsidRPr="00AB6C3E">
        <w:rPr>
          <w:rFonts w:ascii="Times New Roman" w:hAnsi="Times New Roman" w:cs="Times New Roman"/>
        </w:rPr>
        <w:t xml:space="preserve">. </w:t>
      </w:r>
    </w:p>
    <w:sectPr w:rsidR="00FF207D" w:rsidRPr="00AB6C3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8ACEB" w14:textId="77777777" w:rsidR="00473F0D" w:rsidRDefault="00473F0D" w:rsidP="007C75C5">
      <w:pPr>
        <w:spacing w:after="0" w:line="240" w:lineRule="auto"/>
      </w:pPr>
      <w:r>
        <w:separator/>
      </w:r>
    </w:p>
  </w:endnote>
  <w:endnote w:type="continuationSeparator" w:id="0">
    <w:p w14:paraId="437AE937" w14:textId="77777777" w:rsidR="00473F0D" w:rsidRDefault="00473F0D" w:rsidP="007C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A8FE5" w14:textId="77777777" w:rsidR="007C75C5" w:rsidRDefault="007C75C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63084"/>
      <w:docPartObj>
        <w:docPartGallery w:val="Page Numbers (Bottom of Page)"/>
        <w:docPartUnique/>
      </w:docPartObj>
    </w:sdtPr>
    <w:sdtEndPr/>
    <w:sdtContent>
      <w:p w14:paraId="4E541FB6" w14:textId="2C677EFC" w:rsidR="00116F7A" w:rsidRDefault="00116F7A">
        <w:pPr>
          <w:pStyle w:val="Pidipagina"/>
          <w:jc w:val="right"/>
        </w:pPr>
        <w:r>
          <w:fldChar w:fldCharType="begin"/>
        </w:r>
        <w:r>
          <w:instrText>PAGE   \* MERGEFORMAT</w:instrText>
        </w:r>
        <w:r>
          <w:fldChar w:fldCharType="separate"/>
        </w:r>
        <w:r w:rsidR="00B20F79">
          <w:rPr>
            <w:noProof/>
          </w:rPr>
          <w:t>8</w:t>
        </w:r>
        <w:r>
          <w:fldChar w:fldCharType="end"/>
        </w:r>
      </w:p>
    </w:sdtContent>
  </w:sdt>
  <w:p w14:paraId="07D6D8FE" w14:textId="77777777" w:rsidR="007C75C5" w:rsidRDefault="007C75C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C2DC3" w14:textId="77777777" w:rsidR="007C75C5" w:rsidRDefault="007C75C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4DF71" w14:textId="77777777" w:rsidR="00473F0D" w:rsidRDefault="00473F0D" w:rsidP="007C75C5">
      <w:pPr>
        <w:spacing w:after="0" w:line="240" w:lineRule="auto"/>
      </w:pPr>
      <w:r>
        <w:separator/>
      </w:r>
    </w:p>
  </w:footnote>
  <w:footnote w:type="continuationSeparator" w:id="0">
    <w:p w14:paraId="795AAAD4" w14:textId="77777777" w:rsidR="00473F0D" w:rsidRDefault="00473F0D" w:rsidP="007C7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D3E6F" w14:textId="77777777" w:rsidR="007C75C5" w:rsidRDefault="007C75C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1CC3C" w14:textId="3DF6A677" w:rsidR="007C75C5" w:rsidRPr="007C75C5" w:rsidRDefault="007C75C5" w:rsidP="007C75C5">
    <w:pPr>
      <w:pStyle w:val="Intestazione"/>
      <w:jc w:val="right"/>
      <w:rPr>
        <w:rFonts w:ascii="Times New Roman" w:hAnsi="Times New Roman" w:cs="Times New Roman"/>
        <w:b/>
        <w:sz w:val="20"/>
        <w:szCs w:val="20"/>
      </w:rPr>
    </w:pPr>
    <w:r w:rsidRPr="007C75C5">
      <w:rPr>
        <w:rFonts w:ascii="Times New Roman" w:hAnsi="Times New Roman" w:cs="Times New Roman"/>
        <w:b/>
        <w:sz w:val="20"/>
        <w:szCs w:val="20"/>
      </w:rPr>
      <w:t>ALLEGATO 4.1 Verifica equilibrio economico-finanziario</w:t>
    </w:r>
  </w:p>
  <w:p w14:paraId="6D4E585E" w14:textId="77777777" w:rsidR="007C75C5" w:rsidRDefault="007C75C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1AD54" w14:textId="77777777" w:rsidR="007C75C5" w:rsidRDefault="007C75C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2FD6"/>
    <w:multiLevelType w:val="hybridMultilevel"/>
    <w:tmpl w:val="E382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D57C0E"/>
    <w:multiLevelType w:val="hybridMultilevel"/>
    <w:tmpl w:val="D5A4A1D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
    <w:nsid w:val="0D8D1281"/>
    <w:multiLevelType w:val="hybridMultilevel"/>
    <w:tmpl w:val="4E72C156"/>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259D3E3A"/>
    <w:multiLevelType w:val="hybridMultilevel"/>
    <w:tmpl w:val="E0EC48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67563C"/>
    <w:multiLevelType w:val="hybridMultilevel"/>
    <w:tmpl w:val="D12AB1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8712AE3"/>
    <w:multiLevelType w:val="hybridMultilevel"/>
    <w:tmpl w:val="068684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BF6319C"/>
    <w:multiLevelType w:val="hybridMultilevel"/>
    <w:tmpl w:val="D696E25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5A77C81"/>
    <w:multiLevelType w:val="hybridMultilevel"/>
    <w:tmpl w:val="8124B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AE10B93"/>
    <w:multiLevelType w:val="hybridMultilevel"/>
    <w:tmpl w:val="92D8D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CD909E7"/>
    <w:multiLevelType w:val="hybridMultilevel"/>
    <w:tmpl w:val="02C81D4C"/>
    <w:lvl w:ilvl="0" w:tplc="4F84DA34">
      <w:start w:val="1"/>
      <w:numFmt w:val="decimal"/>
      <w:lvlText w:val="%1."/>
      <w:lvlJc w:val="left"/>
      <w:pPr>
        <w:ind w:left="833" w:hanging="360"/>
      </w:pPr>
      <w:rPr>
        <w:rFonts w:ascii="Arial" w:eastAsia="Arial" w:hAnsi="Arial" w:cs="Arial" w:hint="default"/>
        <w:b/>
        <w:bCs/>
        <w:spacing w:val="-1"/>
        <w:w w:val="100"/>
        <w:sz w:val="22"/>
        <w:szCs w:val="22"/>
        <w:lang w:val="it-IT" w:eastAsia="en-US" w:bidi="ar-SA"/>
      </w:rPr>
    </w:lvl>
    <w:lvl w:ilvl="1" w:tplc="818A281C">
      <w:start w:val="1"/>
      <w:numFmt w:val="upperRoman"/>
      <w:lvlText w:val="%2."/>
      <w:lvlJc w:val="left"/>
      <w:pPr>
        <w:ind w:left="1531" w:hanging="483"/>
        <w:jc w:val="right"/>
      </w:pPr>
      <w:rPr>
        <w:rFonts w:ascii="Arial MT" w:eastAsia="Arial MT" w:hAnsi="Arial MT" w:cs="Arial MT" w:hint="default"/>
        <w:spacing w:val="0"/>
        <w:w w:val="100"/>
        <w:sz w:val="22"/>
        <w:szCs w:val="22"/>
        <w:lang w:val="it-IT" w:eastAsia="en-US" w:bidi="ar-SA"/>
      </w:rPr>
    </w:lvl>
    <w:lvl w:ilvl="2" w:tplc="2FE6D5C4">
      <w:numFmt w:val="bullet"/>
      <w:lvlText w:val="•"/>
      <w:lvlJc w:val="left"/>
      <w:pPr>
        <w:ind w:left="2474" w:hanging="483"/>
      </w:pPr>
      <w:rPr>
        <w:rFonts w:hint="default"/>
        <w:lang w:val="it-IT" w:eastAsia="en-US" w:bidi="ar-SA"/>
      </w:rPr>
    </w:lvl>
    <w:lvl w:ilvl="3" w:tplc="56BE17A2">
      <w:numFmt w:val="bullet"/>
      <w:lvlText w:val="•"/>
      <w:lvlJc w:val="left"/>
      <w:pPr>
        <w:ind w:left="3408" w:hanging="483"/>
      </w:pPr>
      <w:rPr>
        <w:rFonts w:hint="default"/>
        <w:lang w:val="it-IT" w:eastAsia="en-US" w:bidi="ar-SA"/>
      </w:rPr>
    </w:lvl>
    <w:lvl w:ilvl="4" w:tplc="F2729F18">
      <w:numFmt w:val="bullet"/>
      <w:lvlText w:val="•"/>
      <w:lvlJc w:val="left"/>
      <w:pPr>
        <w:ind w:left="4342" w:hanging="483"/>
      </w:pPr>
      <w:rPr>
        <w:rFonts w:hint="default"/>
        <w:lang w:val="it-IT" w:eastAsia="en-US" w:bidi="ar-SA"/>
      </w:rPr>
    </w:lvl>
    <w:lvl w:ilvl="5" w:tplc="05DE5766">
      <w:numFmt w:val="bullet"/>
      <w:lvlText w:val="•"/>
      <w:lvlJc w:val="left"/>
      <w:pPr>
        <w:ind w:left="5276" w:hanging="483"/>
      </w:pPr>
      <w:rPr>
        <w:rFonts w:hint="default"/>
        <w:lang w:val="it-IT" w:eastAsia="en-US" w:bidi="ar-SA"/>
      </w:rPr>
    </w:lvl>
    <w:lvl w:ilvl="6" w:tplc="73A26B8A">
      <w:numFmt w:val="bullet"/>
      <w:lvlText w:val="•"/>
      <w:lvlJc w:val="left"/>
      <w:pPr>
        <w:ind w:left="6210" w:hanging="483"/>
      </w:pPr>
      <w:rPr>
        <w:rFonts w:hint="default"/>
        <w:lang w:val="it-IT" w:eastAsia="en-US" w:bidi="ar-SA"/>
      </w:rPr>
    </w:lvl>
    <w:lvl w:ilvl="7" w:tplc="E8A6F060">
      <w:numFmt w:val="bullet"/>
      <w:lvlText w:val="•"/>
      <w:lvlJc w:val="left"/>
      <w:pPr>
        <w:ind w:left="7144" w:hanging="483"/>
      </w:pPr>
      <w:rPr>
        <w:rFonts w:hint="default"/>
        <w:lang w:val="it-IT" w:eastAsia="en-US" w:bidi="ar-SA"/>
      </w:rPr>
    </w:lvl>
    <w:lvl w:ilvl="8" w:tplc="5BB256BA">
      <w:numFmt w:val="bullet"/>
      <w:lvlText w:val="•"/>
      <w:lvlJc w:val="left"/>
      <w:pPr>
        <w:ind w:left="8078" w:hanging="483"/>
      </w:pPr>
      <w:rPr>
        <w:rFonts w:hint="default"/>
        <w:lang w:val="it-IT" w:eastAsia="en-US" w:bidi="ar-SA"/>
      </w:rPr>
    </w:lvl>
  </w:abstractNum>
  <w:abstractNum w:abstractNumId="10">
    <w:nsid w:val="49C67141"/>
    <w:multiLevelType w:val="hybridMultilevel"/>
    <w:tmpl w:val="4258BF0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A5146A3"/>
    <w:multiLevelType w:val="hybridMultilevel"/>
    <w:tmpl w:val="234C77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60F32B9"/>
    <w:multiLevelType w:val="hybridMultilevel"/>
    <w:tmpl w:val="4258BF0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90024CD"/>
    <w:multiLevelType w:val="hybridMultilevel"/>
    <w:tmpl w:val="165C0A68"/>
    <w:lvl w:ilvl="0" w:tplc="0410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AB50DFC"/>
    <w:multiLevelType w:val="hybridMultilevel"/>
    <w:tmpl w:val="69BE0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E1506F0"/>
    <w:multiLevelType w:val="hybridMultilevel"/>
    <w:tmpl w:val="8F66E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7F159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7">
    <w:nsid w:val="6817784F"/>
    <w:multiLevelType w:val="hybridMultilevel"/>
    <w:tmpl w:val="A13AD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E934CF1"/>
    <w:multiLevelType w:val="hybridMultilevel"/>
    <w:tmpl w:val="DED08A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4"/>
  </w:num>
  <w:num w:numId="4">
    <w:abstractNumId w:val="5"/>
  </w:num>
  <w:num w:numId="5">
    <w:abstractNumId w:val="6"/>
  </w:num>
  <w:num w:numId="6">
    <w:abstractNumId w:val="10"/>
  </w:num>
  <w:num w:numId="7">
    <w:abstractNumId w:val="12"/>
  </w:num>
  <w:num w:numId="8">
    <w:abstractNumId w:val="18"/>
  </w:num>
  <w:num w:numId="9">
    <w:abstractNumId w:val="14"/>
  </w:num>
  <w:num w:numId="10">
    <w:abstractNumId w:val="7"/>
  </w:num>
  <w:num w:numId="11">
    <w:abstractNumId w:val="8"/>
  </w:num>
  <w:num w:numId="12">
    <w:abstractNumId w:val="2"/>
  </w:num>
  <w:num w:numId="13">
    <w:abstractNumId w:val="1"/>
  </w:num>
  <w:num w:numId="14">
    <w:abstractNumId w:val="17"/>
  </w:num>
  <w:num w:numId="15">
    <w:abstractNumId w:val="9"/>
  </w:num>
  <w:num w:numId="16">
    <w:abstractNumId w:val="13"/>
  </w:num>
  <w:num w:numId="17">
    <w:abstractNumId w:val="11"/>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71D"/>
    <w:rsid w:val="00001D2E"/>
    <w:rsid w:val="00007AC6"/>
    <w:rsid w:val="00010436"/>
    <w:rsid w:val="00016905"/>
    <w:rsid w:val="00067C50"/>
    <w:rsid w:val="00071A0B"/>
    <w:rsid w:val="000A701E"/>
    <w:rsid w:val="000F5852"/>
    <w:rsid w:val="00116F7A"/>
    <w:rsid w:val="00137559"/>
    <w:rsid w:val="00145478"/>
    <w:rsid w:val="00170EBC"/>
    <w:rsid w:val="001714B0"/>
    <w:rsid w:val="001A5EFD"/>
    <w:rsid w:val="0023466B"/>
    <w:rsid w:val="002539E1"/>
    <w:rsid w:val="00266752"/>
    <w:rsid w:val="00272300"/>
    <w:rsid w:val="00283826"/>
    <w:rsid w:val="00293D7B"/>
    <w:rsid w:val="00293DF4"/>
    <w:rsid w:val="002E1017"/>
    <w:rsid w:val="00307723"/>
    <w:rsid w:val="003467B0"/>
    <w:rsid w:val="00421AD5"/>
    <w:rsid w:val="0045603C"/>
    <w:rsid w:val="00473F0D"/>
    <w:rsid w:val="00486234"/>
    <w:rsid w:val="004C1E7C"/>
    <w:rsid w:val="005274D6"/>
    <w:rsid w:val="00560D8D"/>
    <w:rsid w:val="00592B81"/>
    <w:rsid w:val="005C1CF7"/>
    <w:rsid w:val="005E3EC4"/>
    <w:rsid w:val="005E49FC"/>
    <w:rsid w:val="005E6C8F"/>
    <w:rsid w:val="005F16E8"/>
    <w:rsid w:val="00627270"/>
    <w:rsid w:val="00663C9A"/>
    <w:rsid w:val="0069638C"/>
    <w:rsid w:val="006A0C59"/>
    <w:rsid w:val="006F06C4"/>
    <w:rsid w:val="0070329D"/>
    <w:rsid w:val="007111BC"/>
    <w:rsid w:val="00790AF9"/>
    <w:rsid w:val="007C75C5"/>
    <w:rsid w:val="007F7C31"/>
    <w:rsid w:val="00824CE9"/>
    <w:rsid w:val="008C1056"/>
    <w:rsid w:val="008D5636"/>
    <w:rsid w:val="008E06B6"/>
    <w:rsid w:val="008E07E4"/>
    <w:rsid w:val="00914B28"/>
    <w:rsid w:val="009207DF"/>
    <w:rsid w:val="0093270B"/>
    <w:rsid w:val="009D3B7E"/>
    <w:rsid w:val="00AB416B"/>
    <w:rsid w:val="00AB6C3E"/>
    <w:rsid w:val="00AC4A44"/>
    <w:rsid w:val="00AD2997"/>
    <w:rsid w:val="00B20F79"/>
    <w:rsid w:val="00B52694"/>
    <w:rsid w:val="00BD2C59"/>
    <w:rsid w:val="00C01812"/>
    <w:rsid w:val="00C15C29"/>
    <w:rsid w:val="00C561A3"/>
    <w:rsid w:val="00C57FD2"/>
    <w:rsid w:val="00CD1E8A"/>
    <w:rsid w:val="00CE17A5"/>
    <w:rsid w:val="00DA6FA6"/>
    <w:rsid w:val="00DF5A49"/>
    <w:rsid w:val="00E10D6B"/>
    <w:rsid w:val="00E34CBB"/>
    <w:rsid w:val="00E64EE4"/>
    <w:rsid w:val="00E651E6"/>
    <w:rsid w:val="00E74470"/>
    <w:rsid w:val="00EE7B7B"/>
    <w:rsid w:val="00F3102E"/>
    <w:rsid w:val="00F37EF2"/>
    <w:rsid w:val="00F41F50"/>
    <w:rsid w:val="00F519CC"/>
    <w:rsid w:val="00F7071D"/>
    <w:rsid w:val="00FF20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C6FC4"/>
  <w15:chartTrackingRefBased/>
  <w15:docId w15:val="{F269B998-A2A6-4751-83A6-E77CFA27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293DF4"/>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293DF4"/>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293DF4"/>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293DF4"/>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93DF4"/>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93DF4"/>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93DF4"/>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93DF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93DF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3DF4"/>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semiHidden/>
    <w:rsid w:val="00293DF4"/>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rsid w:val="00293DF4"/>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293DF4"/>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293DF4"/>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293DF4"/>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293DF4"/>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293DF4"/>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293DF4"/>
    <w:rPr>
      <w:rFonts w:asciiTheme="majorHAnsi" w:eastAsiaTheme="majorEastAsia" w:hAnsiTheme="majorHAnsi" w:cstheme="majorBidi"/>
      <w:i/>
      <w:iCs/>
      <w:color w:val="272727" w:themeColor="text1" w:themeTint="D8"/>
      <w:sz w:val="21"/>
      <w:szCs w:val="21"/>
    </w:rPr>
  </w:style>
  <w:style w:type="paragraph" w:styleId="Paragrafoelenco">
    <w:name w:val="List Paragraph"/>
    <w:basedOn w:val="Normale"/>
    <w:uiPriority w:val="34"/>
    <w:qFormat/>
    <w:rsid w:val="00C561A3"/>
    <w:pPr>
      <w:ind w:left="720"/>
      <w:contextualSpacing/>
    </w:pPr>
  </w:style>
  <w:style w:type="character" w:styleId="Testosegnaposto">
    <w:name w:val="Placeholder Text"/>
    <w:basedOn w:val="Carpredefinitoparagrafo"/>
    <w:uiPriority w:val="99"/>
    <w:semiHidden/>
    <w:rsid w:val="00560D8D"/>
    <w:rPr>
      <w:color w:val="808080"/>
    </w:rPr>
  </w:style>
  <w:style w:type="character" w:styleId="Rimandocommento">
    <w:name w:val="annotation reference"/>
    <w:basedOn w:val="Carpredefinitoparagrafo"/>
    <w:uiPriority w:val="99"/>
    <w:semiHidden/>
    <w:unhideWhenUsed/>
    <w:rsid w:val="00145478"/>
    <w:rPr>
      <w:sz w:val="16"/>
      <w:szCs w:val="16"/>
    </w:rPr>
  </w:style>
  <w:style w:type="paragraph" w:styleId="Testocommento">
    <w:name w:val="annotation text"/>
    <w:basedOn w:val="Normale"/>
    <w:link w:val="TestocommentoCarattere"/>
    <w:uiPriority w:val="99"/>
    <w:semiHidden/>
    <w:unhideWhenUsed/>
    <w:rsid w:val="0014547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45478"/>
    <w:rPr>
      <w:sz w:val="20"/>
      <w:szCs w:val="20"/>
    </w:rPr>
  </w:style>
  <w:style w:type="paragraph" w:styleId="Soggettocommento">
    <w:name w:val="annotation subject"/>
    <w:basedOn w:val="Testocommento"/>
    <w:next w:val="Testocommento"/>
    <w:link w:val="SoggettocommentoCarattere"/>
    <w:uiPriority w:val="99"/>
    <w:semiHidden/>
    <w:unhideWhenUsed/>
    <w:rsid w:val="00145478"/>
    <w:rPr>
      <w:b/>
      <w:bCs/>
    </w:rPr>
  </w:style>
  <w:style w:type="character" w:customStyle="1" w:styleId="SoggettocommentoCarattere">
    <w:name w:val="Soggetto commento Carattere"/>
    <w:basedOn w:val="TestocommentoCarattere"/>
    <w:link w:val="Soggettocommento"/>
    <w:uiPriority w:val="99"/>
    <w:semiHidden/>
    <w:rsid w:val="00145478"/>
    <w:rPr>
      <w:b/>
      <w:bCs/>
      <w:sz w:val="20"/>
      <w:szCs w:val="20"/>
    </w:rPr>
  </w:style>
  <w:style w:type="paragraph" w:styleId="Testofumetto">
    <w:name w:val="Balloon Text"/>
    <w:basedOn w:val="Normale"/>
    <w:link w:val="TestofumettoCarattere"/>
    <w:uiPriority w:val="99"/>
    <w:semiHidden/>
    <w:unhideWhenUsed/>
    <w:rsid w:val="0014547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5478"/>
    <w:rPr>
      <w:rFonts w:ascii="Segoe UI" w:hAnsi="Segoe UI" w:cs="Segoe UI"/>
      <w:sz w:val="18"/>
      <w:szCs w:val="18"/>
    </w:rPr>
  </w:style>
  <w:style w:type="paragraph" w:customStyle="1" w:styleId="Regione">
    <w:name w:val="Regione"/>
    <w:basedOn w:val="Normale"/>
    <w:rsid w:val="00AB6C3E"/>
    <w:pPr>
      <w:suppressAutoHyphens/>
      <w:overflowPunct w:val="0"/>
      <w:autoSpaceDE w:val="0"/>
      <w:spacing w:after="0" w:line="240" w:lineRule="auto"/>
      <w:ind w:right="4202" w:firstLine="708"/>
      <w:jc w:val="center"/>
    </w:pPr>
    <w:rPr>
      <w:rFonts w:ascii="Arial" w:eastAsia="Times New Roman" w:hAnsi="Arial" w:cs="Arial"/>
      <w:i/>
      <w:sz w:val="48"/>
      <w:szCs w:val="20"/>
      <w:lang w:eastAsia="ar-SA"/>
    </w:rPr>
  </w:style>
  <w:style w:type="paragraph" w:styleId="Intestazione">
    <w:name w:val="header"/>
    <w:basedOn w:val="Normale"/>
    <w:link w:val="IntestazioneCarattere"/>
    <w:uiPriority w:val="99"/>
    <w:unhideWhenUsed/>
    <w:rsid w:val="007C75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75C5"/>
  </w:style>
  <w:style w:type="paragraph" w:styleId="Pidipagina">
    <w:name w:val="footer"/>
    <w:basedOn w:val="Normale"/>
    <w:link w:val="PidipaginaCarattere"/>
    <w:uiPriority w:val="99"/>
    <w:unhideWhenUsed/>
    <w:rsid w:val="007C75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75C5"/>
  </w:style>
  <w:style w:type="table" w:styleId="Grigliatabella">
    <w:name w:val="Table Grid"/>
    <w:basedOn w:val="Tabellanormale"/>
    <w:uiPriority w:val="39"/>
    <w:rsid w:val="00B20F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99882">
      <w:bodyDiv w:val="1"/>
      <w:marLeft w:val="0"/>
      <w:marRight w:val="0"/>
      <w:marTop w:val="0"/>
      <w:marBottom w:val="0"/>
      <w:divBdr>
        <w:top w:val="none" w:sz="0" w:space="0" w:color="auto"/>
        <w:left w:val="none" w:sz="0" w:space="0" w:color="auto"/>
        <w:bottom w:val="none" w:sz="0" w:space="0" w:color="auto"/>
        <w:right w:val="none" w:sz="0" w:space="0" w:color="auto"/>
      </w:divBdr>
    </w:div>
    <w:div w:id="180519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3728</Words>
  <Characters>21252</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Corradini</dc:creator>
  <cp:keywords/>
  <dc:description/>
  <cp:lastModifiedBy>Cipolla Lucio</cp:lastModifiedBy>
  <cp:revision>2</cp:revision>
  <dcterms:created xsi:type="dcterms:W3CDTF">2021-07-22T08:54:00Z</dcterms:created>
  <dcterms:modified xsi:type="dcterms:W3CDTF">2021-07-22T08:54:00Z</dcterms:modified>
</cp:coreProperties>
</file>