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9E84" w14:textId="77777777" w:rsidR="00CF1928" w:rsidRDefault="00CF1928">
      <w:pPr>
        <w:pStyle w:val="Standard"/>
        <w:spacing w:line="360" w:lineRule="auto"/>
        <w:jc w:val="both"/>
        <w:rPr>
          <w:rFonts w:ascii="Trebuchet MS" w:hAnsi="Trebuchet MS" w:cs="Trebuchet MS"/>
          <w:b/>
          <w:color w:val="0000FF"/>
        </w:rPr>
      </w:pPr>
    </w:p>
    <w:p w14:paraId="71B01906" w14:textId="77777777" w:rsidR="00CF1928" w:rsidRDefault="00CF1928">
      <w:pPr>
        <w:pStyle w:val="Standard"/>
        <w:spacing w:line="360" w:lineRule="auto"/>
        <w:jc w:val="both"/>
        <w:rPr>
          <w:rFonts w:ascii="Calibri" w:hAnsi="Calibri" w:cs="Trebuchet MS"/>
          <w:b/>
          <w:bCs/>
          <w:color w:val="1F497D"/>
          <w:sz w:val="24"/>
          <w:szCs w:val="24"/>
        </w:rPr>
      </w:pPr>
    </w:p>
    <w:p w14:paraId="0BBCEAAD" w14:textId="77777777" w:rsidR="00CF1928" w:rsidRDefault="00CF1928">
      <w:pPr>
        <w:pStyle w:val="Standard"/>
        <w:spacing w:line="360" w:lineRule="auto"/>
        <w:jc w:val="both"/>
        <w:rPr>
          <w:rFonts w:ascii="Calibri" w:hAnsi="Calibri" w:cs="Trebuchet MS"/>
          <w:b/>
          <w:bCs/>
          <w:color w:val="1F497D"/>
          <w:sz w:val="24"/>
          <w:szCs w:val="24"/>
        </w:rPr>
      </w:pPr>
    </w:p>
    <w:p w14:paraId="6983AD1C" w14:textId="77777777" w:rsidR="00CF1928" w:rsidRDefault="00CF1928">
      <w:pPr>
        <w:pStyle w:val="Standard"/>
        <w:spacing w:line="360" w:lineRule="auto"/>
        <w:jc w:val="both"/>
        <w:rPr>
          <w:rFonts w:ascii="Calibri" w:hAnsi="Calibri" w:cs="Trebuchet MS"/>
          <w:b/>
          <w:bCs/>
          <w:color w:val="1F497D"/>
          <w:sz w:val="24"/>
          <w:szCs w:val="24"/>
        </w:rPr>
      </w:pPr>
    </w:p>
    <w:p w14:paraId="7B950933" w14:textId="77777777" w:rsidR="00CF1928" w:rsidRDefault="00CF1928">
      <w:pPr>
        <w:pStyle w:val="Standard"/>
        <w:spacing w:line="360" w:lineRule="auto"/>
        <w:jc w:val="both"/>
        <w:rPr>
          <w:rFonts w:ascii="Calibri" w:hAnsi="Calibri" w:cs="Trebuchet MS"/>
          <w:b/>
          <w:bCs/>
          <w:color w:val="1F497D"/>
          <w:sz w:val="24"/>
          <w:szCs w:val="24"/>
        </w:rPr>
      </w:pPr>
    </w:p>
    <w:p w14:paraId="1F8ED74D" w14:textId="77777777" w:rsidR="00CF1928" w:rsidRDefault="00CF1928">
      <w:pPr>
        <w:pStyle w:val="Standard"/>
        <w:spacing w:line="360" w:lineRule="auto"/>
        <w:jc w:val="both"/>
        <w:rPr>
          <w:rFonts w:ascii="Calibri" w:hAnsi="Calibri" w:cs="Trebuchet MS"/>
          <w:b/>
          <w:bCs/>
          <w:color w:val="1F497D"/>
          <w:sz w:val="24"/>
          <w:szCs w:val="24"/>
        </w:rPr>
      </w:pPr>
    </w:p>
    <w:p w14:paraId="45E65C7F" w14:textId="77777777" w:rsidR="00CF1928" w:rsidRDefault="00CF1928">
      <w:pPr>
        <w:pStyle w:val="Standard"/>
        <w:spacing w:line="360" w:lineRule="auto"/>
        <w:jc w:val="both"/>
        <w:rPr>
          <w:rFonts w:ascii="Calibri" w:hAnsi="Calibri" w:cs="Trebuchet MS"/>
          <w:b/>
          <w:bCs/>
          <w:sz w:val="24"/>
          <w:szCs w:val="24"/>
        </w:rPr>
      </w:pPr>
    </w:p>
    <w:p w14:paraId="31773E78" w14:textId="58B1F420" w:rsidR="00CF1928" w:rsidRDefault="004D199D">
      <w:pPr>
        <w:pStyle w:val="Corpodeltesto3"/>
        <w:widowControl w:val="0"/>
        <w:spacing w:line="300" w:lineRule="exact"/>
        <w:ind w:right="140"/>
        <w:jc w:val="both"/>
      </w:pPr>
      <w:r>
        <w:rPr>
          <w:rFonts w:ascii="Calibri" w:hAnsi="Calibri" w:cs="Trebuchet MS"/>
          <w:b/>
          <w:bCs/>
          <w:sz w:val="24"/>
          <w:szCs w:val="24"/>
        </w:rPr>
        <w:t>CAPITOLATO TECNICO DELLA PROCEDURA DI GARA PER LA FORNITURA DEI VACCINI PER LA CAMPAGNA ANTINFLUENZAL</w:t>
      </w:r>
      <w:r w:rsidR="000B4ACF">
        <w:rPr>
          <w:rFonts w:ascii="Calibri" w:hAnsi="Calibri" w:cs="Trebuchet MS"/>
          <w:b/>
          <w:bCs/>
          <w:sz w:val="24"/>
          <w:szCs w:val="24"/>
        </w:rPr>
        <w:t>E</w:t>
      </w:r>
      <w:r>
        <w:rPr>
          <w:rFonts w:ascii="Calibri" w:hAnsi="Calibri" w:cs="Trebuchet MS"/>
          <w:b/>
          <w:bCs/>
          <w:sz w:val="24"/>
          <w:szCs w:val="24"/>
        </w:rPr>
        <w:t xml:space="preserve"> 202</w:t>
      </w:r>
      <w:r w:rsidR="0034480D">
        <w:rPr>
          <w:rFonts w:ascii="Calibri" w:hAnsi="Calibri" w:cs="Trebuchet MS"/>
          <w:b/>
          <w:bCs/>
          <w:sz w:val="24"/>
          <w:szCs w:val="24"/>
        </w:rPr>
        <w:t>3</w:t>
      </w:r>
      <w:r>
        <w:rPr>
          <w:rFonts w:ascii="Calibri" w:hAnsi="Calibri" w:cs="Trebuchet MS"/>
          <w:b/>
          <w:bCs/>
          <w:sz w:val="24"/>
          <w:szCs w:val="24"/>
        </w:rPr>
        <w:t xml:space="preserve"> </w:t>
      </w:r>
      <w:r w:rsidR="0034480D">
        <w:rPr>
          <w:rFonts w:ascii="Calibri" w:hAnsi="Calibri" w:cs="Trebuchet MS"/>
          <w:b/>
          <w:bCs/>
          <w:sz w:val="24"/>
          <w:szCs w:val="24"/>
        </w:rPr>
        <w:t>–</w:t>
      </w:r>
      <w:r>
        <w:rPr>
          <w:rFonts w:ascii="Calibri" w:hAnsi="Calibri" w:cs="Trebuchet MS"/>
          <w:b/>
          <w:bCs/>
          <w:sz w:val="24"/>
          <w:szCs w:val="24"/>
        </w:rPr>
        <w:t xml:space="preserve"> 202</w:t>
      </w:r>
      <w:r w:rsidR="0034480D">
        <w:rPr>
          <w:rFonts w:ascii="Calibri" w:hAnsi="Calibri" w:cs="Trebuchet MS"/>
          <w:b/>
          <w:bCs/>
          <w:sz w:val="24"/>
          <w:szCs w:val="24"/>
        </w:rPr>
        <w:t>4 NON RICOMPRESI NELLA GARA UNICA REGIONALE TRIENNALE</w:t>
      </w:r>
      <w:r>
        <w:rPr>
          <w:rFonts w:ascii="Calibri" w:hAnsi="Calibri" w:cs="Trebuchet MS"/>
          <w:b/>
          <w:bCs/>
          <w:sz w:val="24"/>
          <w:szCs w:val="24"/>
        </w:rPr>
        <w:t xml:space="preserve"> OCCORRENTI ALLE AZIENDE SANITARIE DEL S.S.R. DELLA REGIONE SICILIANA</w:t>
      </w:r>
    </w:p>
    <w:p w14:paraId="46A43C43" w14:textId="77777777" w:rsidR="00CF1928" w:rsidRDefault="004D199D">
      <w:pPr>
        <w:pStyle w:val="Standard"/>
        <w:pageBreakBefore/>
        <w:spacing w:line="360" w:lineRule="auto"/>
        <w:jc w:val="both"/>
      </w:pPr>
      <w:r>
        <w:rPr>
          <w:rFonts w:ascii="Calibri" w:hAnsi="Calibri" w:cs="Trebuchet MS"/>
          <w:b/>
          <w:bCs/>
          <w:sz w:val="24"/>
          <w:szCs w:val="24"/>
        </w:rPr>
        <w:lastRenderedPageBreak/>
        <w:t>1. Oggetto della fornitura e quantità</w:t>
      </w:r>
    </w:p>
    <w:p w14:paraId="25A8B8CC" w14:textId="77777777" w:rsidR="00CF1928" w:rsidRDefault="00CF1928">
      <w:pPr>
        <w:pStyle w:val="Standard"/>
        <w:spacing w:line="360" w:lineRule="auto"/>
        <w:jc w:val="both"/>
        <w:rPr>
          <w:rFonts w:ascii="Calibri" w:hAnsi="Calibri" w:cs="Trebuchet MS"/>
          <w:sz w:val="24"/>
          <w:szCs w:val="24"/>
        </w:rPr>
      </w:pPr>
    </w:p>
    <w:p w14:paraId="54C63782" w14:textId="49E2F463" w:rsidR="00CF1928" w:rsidRDefault="004D199D">
      <w:pPr>
        <w:pStyle w:val="Standard"/>
        <w:spacing w:line="360" w:lineRule="auto"/>
        <w:jc w:val="both"/>
      </w:pPr>
      <w:r>
        <w:rPr>
          <w:rFonts w:ascii="Calibri" w:hAnsi="Calibri" w:cs="Trebuchet MS"/>
          <w:sz w:val="24"/>
          <w:szCs w:val="24"/>
        </w:rPr>
        <w:t xml:space="preserve">Il presente Capitolato ha per oggetto la fornitura di </w:t>
      </w:r>
      <w:r w:rsidR="00F54482">
        <w:rPr>
          <w:rFonts w:ascii="Calibri" w:hAnsi="Calibri" w:cs="Trebuchet MS"/>
          <w:sz w:val="24"/>
          <w:szCs w:val="24"/>
        </w:rPr>
        <w:t>vaccini</w:t>
      </w:r>
      <w:r>
        <w:rPr>
          <w:rFonts w:ascii="Calibri" w:hAnsi="Calibri" w:cs="Trebuchet MS"/>
          <w:sz w:val="24"/>
          <w:szCs w:val="24"/>
        </w:rPr>
        <w:t xml:space="preserve"> come descritti nell’allegato 1 Tabella Elenco lotti, necessari alle Aziende Sanitarie </w:t>
      </w:r>
      <w:r w:rsidR="001C1976">
        <w:rPr>
          <w:rFonts w:ascii="Calibri" w:hAnsi="Calibri" w:cs="Trebuchet MS"/>
          <w:sz w:val="24"/>
          <w:szCs w:val="24"/>
        </w:rPr>
        <w:t>Provinciali</w:t>
      </w:r>
      <w:r>
        <w:rPr>
          <w:rFonts w:ascii="Calibri" w:hAnsi="Calibri" w:cs="Trebuchet MS"/>
          <w:sz w:val="24"/>
          <w:szCs w:val="24"/>
        </w:rPr>
        <w:t xml:space="preserve"> del SS</w:t>
      </w:r>
      <w:r w:rsidR="0007225F">
        <w:rPr>
          <w:rFonts w:ascii="Calibri" w:hAnsi="Calibri" w:cs="Trebuchet MS"/>
          <w:sz w:val="24"/>
          <w:szCs w:val="24"/>
        </w:rPr>
        <w:t>R</w:t>
      </w:r>
      <w:r>
        <w:rPr>
          <w:rFonts w:ascii="Calibri" w:hAnsi="Calibri" w:cs="Trebuchet MS"/>
          <w:sz w:val="24"/>
          <w:szCs w:val="24"/>
        </w:rPr>
        <w:t xml:space="preserve"> della Regione Siciliana</w:t>
      </w:r>
      <w:r>
        <w:rPr>
          <w:rFonts w:ascii="Calibri" w:hAnsi="Calibri" w:cs="Trebuchet MS"/>
          <w:i/>
          <w:iCs/>
          <w:sz w:val="24"/>
          <w:szCs w:val="24"/>
        </w:rPr>
        <w:t xml:space="preserve">. </w:t>
      </w:r>
      <w:r>
        <w:rPr>
          <w:rFonts w:ascii="Calibri" w:hAnsi="Calibri" w:cs="Trebuchet MS"/>
          <w:sz w:val="24"/>
          <w:szCs w:val="24"/>
        </w:rPr>
        <w:t>Per quanto attiene la descrizione delle caratteristiche dei prodotti e dei quantitativi da fornire si rinvia a quanto disposto nell’allegato 1 che costituisce parte integrante e sostanziale del presente Capitolato.</w:t>
      </w:r>
    </w:p>
    <w:p w14:paraId="534C686B" w14:textId="1E25C71E" w:rsidR="00CF1928" w:rsidRDefault="004D199D">
      <w:pPr>
        <w:pStyle w:val="Standard"/>
        <w:spacing w:line="360" w:lineRule="auto"/>
        <w:jc w:val="both"/>
      </w:pPr>
      <w:r>
        <w:rPr>
          <w:rFonts w:ascii="Calibri" w:hAnsi="Calibri" w:cs="Trebuchet MS"/>
          <w:sz w:val="24"/>
          <w:szCs w:val="24"/>
        </w:rPr>
        <w:t xml:space="preserve">Le quantità e tipologie dei </w:t>
      </w:r>
      <w:r w:rsidR="00F54482">
        <w:rPr>
          <w:rFonts w:ascii="Calibri" w:hAnsi="Calibri" w:cs="Trebuchet MS"/>
          <w:sz w:val="24"/>
          <w:szCs w:val="24"/>
        </w:rPr>
        <w:t>vaccini</w:t>
      </w:r>
      <w:r>
        <w:rPr>
          <w:rFonts w:ascii="Calibri" w:hAnsi="Calibri" w:cs="Trebuchet MS"/>
          <w:sz w:val="24"/>
          <w:szCs w:val="24"/>
        </w:rPr>
        <w:t xml:space="preserve"> indicate si riferiscono al fabbisogno</w:t>
      </w:r>
      <w:r>
        <w:rPr>
          <w:rFonts w:ascii="Andalus" w:eastAsia="SimSun" w:hAnsi="Andalus" w:cs="Andalus"/>
          <w:color w:val="000000"/>
          <w:sz w:val="22"/>
          <w:szCs w:val="22"/>
          <w:lang w:eastAsia="hi-IN" w:bidi="hi-IN"/>
        </w:rPr>
        <w:t xml:space="preserve"> </w:t>
      </w:r>
      <w:r>
        <w:rPr>
          <w:rFonts w:ascii="Calibri" w:hAnsi="Calibri" w:cs="Trebuchet MS"/>
          <w:sz w:val="24"/>
          <w:szCs w:val="24"/>
        </w:rPr>
        <w:t xml:space="preserve">per </w:t>
      </w:r>
      <w:r w:rsidR="006A3002">
        <w:rPr>
          <w:rFonts w:ascii="Calibri" w:hAnsi="Calibri" w:cs="Trebuchet MS"/>
          <w:sz w:val="24"/>
          <w:szCs w:val="24"/>
        </w:rPr>
        <w:t xml:space="preserve">tutta la durata della Campagna Vaccinale </w:t>
      </w:r>
      <w:r w:rsidR="00952AD0">
        <w:rPr>
          <w:rFonts w:ascii="Calibri" w:hAnsi="Calibri" w:cs="Trebuchet MS"/>
          <w:sz w:val="24"/>
          <w:szCs w:val="24"/>
        </w:rPr>
        <w:t>Antinfluenzale</w:t>
      </w:r>
      <w:r w:rsidR="006A3002">
        <w:rPr>
          <w:rFonts w:ascii="Calibri" w:hAnsi="Calibri" w:cs="Trebuchet MS"/>
          <w:sz w:val="24"/>
          <w:szCs w:val="24"/>
        </w:rPr>
        <w:t>2023/2024</w:t>
      </w:r>
      <w:r w:rsidR="003B534E">
        <w:rPr>
          <w:rFonts w:ascii="Calibri" w:hAnsi="Calibri" w:cs="Trebuchet MS"/>
          <w:sz w:val="24"/>
          <w:szCs w:val="24"/>
        </w:rPr>
        <w:t>.</w:t>
      </w:r>
    </w:p>
    <w:p w14:paraId="354EA3D1" w14:textId="77777777" w:rsidR="00CF1928" w:rsidRDefault="004D199D">
      <w:pPr>
        <w:pStyle w:val="Standard"/>
        <w:spacing w:line="360" w:lineRule="auto"/>
        <w:jc w:val="both"/>
      </w:pPr>
      <w:r>
        <w:rPr>
          <w:rFonts w:ascii="Calibri" w:hAnsi="Calibri" w:cs="Trebuchet MS"/>
          <w:sz w:val="24"/>
          <w:szCs w:val="24"/>
        </w:rPr>
        <w:t>La Stazione Appaltante, nel corso dell’esecuzione contrattuale, potrà apportare nei casi e nelle modalità previste dall’art. 106 del D. Lgs. n. 50/2016, variazioni in aumento e in diminuzione nei limiti previsti nella surrichiamata disposizione.</w:t>
      </w:r>
    </w:p>
    <w:p w14:paraId="24EF65B0" w14:textId="77777777" w:rsidR="00CF1928" w:rsidRDefault="00CF1928">
      <w:pPr>
        <w:pStyle w:val="Standard"/>
        <w:spacing w:line="360" w:lineRule="auto"/>
        <w:jc w:val="both"/>
        <w:rPr>
          <w:rFonts w:ascii="Calibri" w:hAnsi="Calibri" w:cs="Trebuchet MS"/>
          <w:sz w:val="24"/>
          <w:szCs w:val="24"/>
        </w:rPr>
      </w:pPr>
    </w:p>
    <w:p w14:paraId="0F1CE5D6" w14:textId="77777777" w:rsidR="00CF1928" w:rsidRDefault="004D199D">
      <w:pPr>
        <w:pStyle w:val="Standard"/>
        <w:spacing w:line="360" w:lineRule="auto"/>
      </w:pPr>
      <w:r>
        <w:rPr>
          <w:rFonts w:ascii="Calibri" w:hAnsi="Calibri" w:cs="Trebuchet MS"/>
          <w:b/>
          <w:bCs/>
          <w:sz w:val="24"/>
          <w:szCs w:val="24"/>
        </w:rPr>
        <w:t>1.1 - Caratteristiche tecnico qualitative e confezionamento</w:t>
      </w:r>
    </w:p>
    <w:p w14:paraId="62A9EE80" w14:textId="4AA7EB70" w:rsidR="00CF1928" w:rsidRDefault="004D199D">
      <w:pPr>
        <w:pStyle w:val="Standard"/>
        <w:spacing w:line="360" w:lineRule="auto"/>
        <w:jc w:val="both"/>
      </w:pPr>
      <w:r>
        <w:rPr>
          <w:rFonts w:ascii="Calibri" w:hAnsi="Calibri" w:cs="Trebuchet MS"/>
          <w:sz w:val="24"/>
          <w:szCs w:val="24"/>
        </w:rPr>
        <w:t xml:space="preserve">I </w:t>
      </w:r>
      <w:r w:rsidR="00FF23AC">
        <w:rPr>
          <w:rFonts w:ascii="Calibri" w:hAnsi="Calibri" w:cs="Trebuchet MS"/>
          <w:sz w:val="24"/>
          <w:szCs w:val="24"/>
        </w:rPr>
        <w:t>vaccini</w:t>
      </w:r>
      <w:r>
        <w:rPr>
          <w:rFonts w:ascii="Calibri" w:hAnsi="Calibri" w:cs="Trebuchet MS"/>
          <w:sz w:val="24"/>
          <w:szCs w:val="24"/>
        </w:rPr>
        <w:t xml:space="preserve"> devono essere conformi alla normativa in vigore in ordine alle caratteristiche per l’immissione in commercio.</w:t>
      </w:r>
    </w:p>
    <w:p w14:paraId="2C2F8156" w14:textId="77777777" w:rsidR="00CF1928" w:rsidRDefault="004D199D">
      <w:pPr>
        <w:pStyle w:val="Standard"/>
        <w:spacing w:line="360" w:lineRule="auto"/>
        <w:jc w:val="both"/>
      </w:pPr>
      <w:r>
        <w:rPr>
          <w:rFonts w:ascii="Calibri" w:hAnsi="Calibri" w:cs="Trebuchet MS"/>
          <w:sz w:val="24"/>
          <w:szCs w:val="24"/>
        </w:rPr>
        <w:t>Il confezionamento e l’etichettatura devono essere tali da consentire la lettura di tutte le diciture richieste dalla normativa vigente; dette diciture devono figurare sia sul confezionamento primario che sull’imballaggio esterno.</w:t>
      </w:r>
    </w:p>
    <w:p w14:paraId="35819C1B" w14:textId="77777777" w:rsidR="00CF1928" w:rsidRDefault="004D199D">
      <w:pPr>
        <w:pStyle w:val="Standard"/>
        <w:spacing w:line="360" w:lineRule="auto"/>
        <w:jc w:val="both"/>
      </w:pPr>
      <w:r>
        <w:rPr>
          <w:rFonts w:ascii="Calibri" w:hAnsi="Calibri" w:cs="Trebuchet MS"/>
          <w:sz w:val="24"/>
          <w:szCs w:val="24"/>
        </w:rPr>
        <w:t>Non potranno essere offerti e consegnati medicinali in confezioni ospedaliere non registrate AIC.</w:t>
      </w:r>
    </w:p>
    <w:p w14:paraId="484E85CF" w14:textId="77777777" w:rsidR="00CF1928" w:rsidRDefault="004D199D">
      <w:pPr>
        <w:pStyle w:val="Standard"/>
        <w:spacing w:line="360" w:lineRule="auto"/>
        <w:jc w:val="both"/>
      </w:pPr>
      <w:r>
        <w:rPr>
          <w:rFonts w:ascii="Calibri" w:hAnsi="Calibri" w:cs="Trebuchet MS"/>
          <w:sz w:val="24"/>
          <w:szCs w:val="24"/>
        </w:rPr>
        <w:t>I prodotti consegnati dovranno essere forniti di fustella annullata. L’annullamento non dovrà comunque incidere sulla leggibilità del codice a barre.</w:t>
      </w:r>
    </w:p>
    <w:p w14:paraId="0770336A" w14:textId="77777777" w:rsidR="00CF1928" w:rsidRDefault="004D199D">
      <w:pPr>
        <w:pStyle w:val="Standard"/>
        <w:spacing w:line="360" w:lineRule="auto"/>
        <w:jc w:val="both"/>
      </w:pPr>
      <w:r>
        <w:rPr>
          <w:rFonts w:ascii="Calibri" w:hAnsi="Calibri" w:cs="Trebuchet MS"/>
          <w:sz w:val="24"/>
          <w:szCs w:val="24"/>
        </w:rPr>
        <w:t>La confezione esterna dovrà assicurare l’integrità del prodotto durante il trasporto e il packaging.</w:t>
      </w:r>
    </w:p>
    <w:p w14:paraId="76711B7B" w14:textId="77777777" w:rsidR="00CF1928" w:rsidRDefault="004D199D">
      <w:pPr>
        <w:pStyle w:val="Standard"/>
        <w:spacing w:line="360" w:lineRule="auto"/>
        <w:jc w:val="both"/>
      </w:pPr>
      <w:r>
        <w:rPr>
          <w:rFonts w:ascii="Calibri" w:hAnsi="Calibri" w:cs="Trebuchet MS"/>
          <w:sz w:val="24"/>
          <w:szCs w:val="24"/>
        </w:rPr>
        <w:t>Si fa presente che il peso di ciascuna confezione esterna dovrà rispettare la normativa fissata in materia di sicurezza.</w:t>
      </w:r>
    </w:p>
    <w:p w14:paraId="6C3843CE" w14:textId="77777777" w:rsidR="00CF1928" w:rsidRDefault="004D199D">
      <w:pPr>
        <w:pStyle w:val="Standard"/>
        <w:spacing w:line="360" w:lineRule="auto"/>
        <w:jc w:val="both"/>
      </w:pPr>
      <w:r>
        <w:rPr>
          <w:rFonts w:ascii="Calibri" w:hAnsi="Calibri" w:cs="Trebuchet MS"/>
          <w:sz w:val="24"/>
          <w:szCs w:val="24"/>
        </w:rPr>
        <w:t>Si precisa che, nel presente Capitolato tecnico, i termini “fiala” e “flacone” identificano la stessa forma farmaceutica.</w:t>
      </w:r>
    </w:p>
    <w:p w14:paraId="458E1512" w14:textId="77777777" w:rsidR="00CF1928" w:rsidRDefault="00CF1928">
      <w:pPr>
        <w:pStyle w:val="Standard"/>
        <w:spacing w:line="360" w:lineRule="auto"/>
        <w:jc w:val="both"/>
        <w:rPr>
          <w:rFonts w:ascii="Calibri" w:hAnsi="Calibri" w:cs="Trebuchet MS"/>
          <w:b/>
          <w:bCs/>
          <w:sz w:val="24"/>
          <w:szCs w:val="24"/>
        </w:rPr>
      </w:pPr>
    </w:p>
    <w:p w14:paraId="76CB2848" w14:textId="77777777" w:rsidR="00CF1928" w:rsidRDefault="004D199D">
      <w:pPr>
        <w:pStyle w:val="Standard"/>
        <w:spacing w:line="360" w:lineRule="auto"/>
        <w:jc w:val="both"/>
      </w:pPr>
      <w:r>
        <w:rPr>
          <w:rFonts w:ascii="Calibri" w:hAnsi="Calibri" w:cs="Trebuchet MS"/>
          <w:b/>
          <w:bCs/>
          <w:sz w:val="24"/>
          <w:szCs w:val="24"/>
        </w:rPr>
        <w:t>1.2. Ripartizione competenze tra Stazione Appaltante e singole Amministrazioni</w:t>
      </w:r>
    </w:p>
    <w:p w14:paraId="6AD53CB4" w14:textId="77777777" w:rsidR="00CF1928" w:rsidRDefault="004D199D">
      <w:pPr>
        <w:pStyle w:val="Standard"/>
        <w:spacing w:line="360" w:lineRule="auto"/>
        <w:jc w:val="both"/>
      </w:pPr>
      <w:r>
        <w:rPr>
          <w:rFonts w:ascii="Calibri" w:hAnsi="Calibri" w:cs="Trebuchet MS"/>
          <w:sz w:val="24"/>
          <w:szCs w:val="24"/>
        </w:rPr>
        <w:t>La presente procedura dà vita a distinti rapporti contrattuali, intercorrenti tra l’Impresa aggiudicataria della fornitura (Fornitore) e ciascuna Azienda associata.</w:t>
      </w:r>
    </w:p>
    <w:p w14:paraId="1186AA9F" w14:textId="77777777" w:rsidR="00CF1928" w:rsidRDefault="004D199D">
      <w:pPr>
        <w:pStyle w:val="Standard"/>
        <w:spacing w:line="360" w:lineRule="auto"/>
        <w:jc w:val="both"/>
      </w:pPr>
      <w:r>
        <w:rPr>
          <w:rFonts w:ascii="Calibri" w:hAnsi="Calibri" w:cs="Trebuchet MS"/>
          <w:sz w:val="24"/>
          <w:szCs w:val="24"/>
        </w:rPr>
        <w:t xml:space="preserve">Resta di esclusiva competenza della stazione appaltante la gestione di tutte le attività giuridico - amministrative relative all’individuazione del contraente (Fornitore), mentre restano in capo alle </w:t>
      </w:r>
      <w:r>
        <w:rPr>
          <w:rFonts w:ascii="Calibri" w:hAnsi="Calibri" w:cs="Trebuchet MS"/>
          <w:sz w:val="24"/>
          <w:szCs w:val="24"/>
        </w:rPr>
        <w:lastRenderedPageBreak/>
        <w:t>rispettive Aziende la gestione contrattuale relativa alle proprie singole quote di fornitura ( stipula contratti e gestione autonoma del rapporto contrattuale, richiesta e gestione del deposito cauzionale definitivo di pertinenza, gestione ordinativo e ricevimento merce con verifica quantitativo, ricevimento e pagamento fatture, monitoraggio della fornitura e istruttoria per una eventuale revisione dei prezzi), nonché quelle relative all’eventuale contenzioso contrattuale, compresa l’applicazione di penali e la risoluzione del singolo rapporto contrattuale.</w:t>
      </w:r>
    </w:p>
    <w:p w14:paraId="764C5885" w14:textId="77777777" w:rsidR="00CF1928" w:rsidRDefault="00CF1928">
      <w:pPr>
        <w:pStyle w:val="Standard"/>
        <w:spacing w:line="360" w:lineRule="auto"/>
        <w:jc w:val="both"/>
        <w:rPr>
          <w:rFonts w:ascii="Calibri" w:hAnsi="Calibri" w:cs="Trebuchet MS"/>
          <w:sz w:val="24"/>
          <w:szCs w:val="24"/>
        </w:rPr>
      </w:pPr>
    </w:p>
    <w:p w14:paraId="69ECE073" w14:textId="77777777" w:rsidR="00CF1928" w:rsidRDefault="004D199D">
      <w:pPr>
        <w:pStyle w:val="Standard"/>
        <w:spacing w:line="360" w:lineRule="auto"/>
        <w:jc w:val="both"/>
      </w:pPr>
      <w:r>
        <w:rPr>
          <w:rFonts w:ascii="Calibri" w:hAnsi="Calibri" w:cs="Trebuchet MS"/>
          <w:b/>
          <w:bCs/>
          <w:sz w:val="24"/>
          <w:szCs w:val="24"/>
        </w:rPr>
        <w:t>2. Sicurezza</w:t>
      </w:r>
    </w:p>
    <w:p w14:paraId="3F6B789D" w14:textId="77777777" w:rsidR="00CF1928" w:rsidRDefault="004D199D">
      <w:pPr>
        <w:pStyle w:val="Normaleblu"/>
      </w:pPr>
      <w:r>
        <w:rPr>
          <w:rFonts w:ascii="Calibri" w:hAnsi="Calibri"/>
          <w:sz w:val="24"/>
          <w:szCs w:val="24"/>
        </w:rPr>
        <w:t>In considerazione della natura della fornitura oggetto della presente procedura, non sussiste, ai sensi dell’art. 26 del D.Lgs. 9 aprile 2008 n. 81, l’obbligo di procedere alla predisposizione dei documenti di cui all’art. 26, commi 3 e 3 ter, del predetto decreto. Resta, invece, inteso che i concorrenti dovranno indicare in sede di offerta la stima dei costi della sicurezza afferenti all’esercizio dell’attività svolta di cui all’art. 95, comma 10, del D. Lgs. n. 50/2016.</w:t>
      </w:r>
    </w:p>
    <w:p w14:paraId="18FEFAE6" w14:textId="77777777" w:rsidR="00CF1928" w:rsidRDefault="00CF1928">
      <w:pPr>
        <w:pStyle w:val="Standard"/>
        <w:spacing w:line="360" w:lineRule="auto"/>
        <w:rPr>
          <w:rFonts w:ascii="Calibri" w:hAnsi="Calibri" w:cs="Trebuchet MS"/>
          <w:b/>
          <w:bCs/>
          <w:sz w:val="24"/>
          <w:szCs w:val="24"/>
        </w:rPr>
      </w:pPr>
    </w:p>
    <w:p w14:paraId="08EC178F" w14:textId="77777777" w:rsidR="00CF1928" w:rsidRDefault="004D199D">
      <w:pPr>
        <w:pStyle w:val="Standard"/>
        <w:spacing w:line="360" w:lineRule="auto"/>
      </w:pPr>
      <w:r>
        <w:rPr>
          <w:rFonts w:ascii="Calibri" w:hAnsi="Calibri" w:cs="Trebuchet MS"/>
          <w:b/>
          <w:bCs/>
          <w:sz w:val="24"/>
          <w:szCs w:val="24"/>
        </w:rPr>
        <w:t>3. Durata della fornitura</w:t>
      </w:r>
    </w:p>
    <w:p w14:paraId="64507FCB" w14:textId="2E5D5910" w:rsidR="00CF1928" w:rsidRDefault="004D199D">
      <w:pPr>
        <w:pStyle w:val="Standard"/>
        <w:spacing w:line="360" w:lineRule="auto"/>
        <w:jc w:val="both"/>
      </w:pPr>
      <w:r>
        <w:rPr>
          <w:rFonts w:ascii="Calibri" w:hAnsi="Calibri" w:cs="Trebuchet MS"/>
          <w:sz w:val="24"/>
          <w:szCs w:val="24"/>
        </w:rPr>
        <w:t xml:space="preserve">Con la stipula del contratto di cui al successivo paragrafo 4, il Fornitore si impegna a eseguire la prestazione affidata per </w:t>
      </w:r>
      <w:r w:rsidR="00D04B81">
        <w:rPr>
          <w:rFonts w:ascii="Calibri" w:hAnsi="Calibri" w:cs="Trebuchet MS"/>
          <w:sz w:val="24"/>
          <w:szCs w:val="24"/>
        </w:rPr>
        <w:t>8</w:t>
      </w:r>
      <w:r w:rsidR="00445490">
        <w:rPr>
          <w:rFonts w:ascii="Calibri" w:hAnsi="Calibri" w:cs="Trebuchet MS"/>
          <w:sz w:val="24"/>
          <w:szCs w:val="24"/>
        </w:rPr>
        <w:t xml:space="preserve"> mesi </w:t>
      </w:r>
      <w:r>
        <w:rPr>
          <w:rFonts w:ascii="Calibri" w:hAnsi="Calibri" w:cs="Trebuchet MS"/>
          <w:sz w:val="24"/>
          <w:szCs w:val="24"/>
        </w:rPr>
        <w:t>decorrenti dalla data della comunicazione di aggiudicazione definitiva, efficace ai sensi dell’art. 76, comma 5, lett. a), del D. Lgs. n. 50/2016.</w:t>
      </w:r>
    </w:p>
    <w:p w14:paraId="7F438D72" w14:textId="77777777" w:rsidR="00CF1928" w:rsidRDefault="004D199D">
      <w:pPr>
        <w:pStyle w:val="Standard"/>
        <w:spacing w:line="360" w:lineRule="auto"/>
        <w:jc w:val="both"/>
      </w:pPr>
      <w:r>
        <w:rPr>
          <w:rFonts w:ascii="Calibri" w:hAnsi="Calibri" w:cs="Trebuchet MS"/>
          <w:sz w:val="24"/>
          <w:szCs w:val="24"/>
        </w:rPr>
        <w:t>Si evidenzia che trova applicazione l’art. 106, comma 11, del D. Lgs. n. 50/2016, per cui la durata del contratto può essere prorogata per il tempo strettamente necessario alla conclusione delle procedure necessarie per l'individuazione di un nuovo contraente. In tal caso il contraente è tenuto all'esecuzione delle prestazioni previste nel contratto agli stessi prezzi, patti e condizioni o più favorevoli per la Stazione Appaltante.</w:t>
      </w:r>
    </w:p>
    <w:p w14:paraId="5D965489" w14:textId="77777777" w:rsidR="00CF1928" w:rsidRDefault="00CF1928">
      <w:pPr>
        <w:pStyle w:val="Standard"/>
        <w:spacing w:line="360" w:lineRule="auto"/>
        <w:jc w:val="both"/>
        <w:rPr>
          <w:rFonts w:ascii="Calibri" w:hAnsi="Calibri" w:cs="Trebuchet MS"/>
          <w:sz w:val="24"/>
          <w:szCs w:val="24"/>
        </w:rPr>
      </w:pPr>
    </w:p>
    <w:p w14:paraId="6B35EB00" w14:textId="77777777" w:rsidR="00CF1928" w:rsidRDefault="004D199D">
      <w:pPr>
        <w:pStyle w:val="Standard"/>
        <w:spacing w:line="360" w:lineRule="auto"/>
      </w:pPr>
      <w:r>
        <w:rPr>
          <w:rFonts w:ascii="Calibri" w:hAnsi="Calibri" w:cs="Trebuchet MS"/>
          <w:b/>
          <w:bCs/>
          <w:sz w:val="24"/>
          <w:szCs w:val="24"/>
        </w:rPr>
        <w:t>4. Esecuzione del contratto e Consegne</w:t>
      </w:r>
    </w:p>
    <w:p w14:paraId="0E855A09" w14:textId="77777777" w:rsidR="00CF1928" w:rsidRDefault="004D199D">
      <w:pPr>
        <w:pStyle w:val="Standard"/>
        <w:spacing w:line="360" w:lineRule="auto"/>
        <w:jc w:val="both"/>
      </w:pPr>
      <w:r>
        <w:rPr>
          <w:rFonts w:ascii="Calibri" w:hAnsi="Calibri" w:cs="Trebuchet MS"/>
          <w:sz w:val="24"/>
          <w:szCs w:val="24"/>
        </w:rPr>
        <w:t>Si evidenzia che in caso di particolare urgenza, la Stazione Appaltante, ai sensi dell’art. 32, comma 13, del D. Lgs. n. 50/2016, può disporre, prima della stipula del contratto, anche nella forma della lettera commerciale, l'anticipata esecuzione dello stesso, in presenza dei presupposti di cui al comma 8 dello stesso art. 32 del D. Lgs. n. 50/2016.</w:t>
      </w:r>
    </w:p>
    <w:p w14:paraId="2CDBC8A3" w14:textId="77777777" w:rsidR="00CF1928" w:rsidRDefault="004D199D">
      <w:pPr>
        <w:pStyle w:val="Standard"/>
        <w:spacing w:line="360" w:lineRule="auto"/>
        <w:jc w:val="both"/>
      </w:pPr>
      <w:r>
        <w:rPr>
          <w:rFonts w:ascii="Calibri" w:hAnsi="Calibri" w:cs="Trebuchet MS"/>
          <w:sz w:val="24"/>
          <w:szCs w:val="24"/>
        </w:rPr>
        <w:t xml:space="preserve">Il Fornitore è tenuto all’esecuzione a regola d’arte, secondo gli usi commerciali, della fornitura dei beni/prodotti oggetto del presente Capitolato. Nel corso dell’esecuzione, il Fornitore è tenuto a rispettare le idonee regole di diligenza e a garantire una particolare attenzione agli standard </w:t>
      </w:r>
      <w:r>
        <w:rPr>
          <w:rFonts w:ascii="Calibri" w:hAnsi="Calibri" w:cs="Trebuchet MS"/>
          <w:sz w:val="24"/>
          <w:szCs w:val="24"/>
        </w:rPr>
        <w:lastRenderedPageBreak/>
        <w:t>qualitativi derivanti dalle caratteristiche sanitarie ed ospedaliere della fornitura, adottando tutte le precauzioni necessarie per la perfetta conservazione della merce durante il trasporto, in linea con quanto previsto dal D.M. 6/7/1999. Il Fornitore garantisce, altresì, che i prodotti oggetto della contrattazione, oltre ad essere conformi alle prescrizioni di legge per le specifiche categorie merceologiche cui appartengono, siano forniti nel rispetto della normativa in materia di:</w:t>
      </w:r>
    </w:p>
    <w:p w14:paraId="06ACE5FE" w14:textId="77777777" w:rsidR="00CF1928" w:rsidRDefault="004D199D">
      <w:pPr>
        <w:pStyle w:val="Standard"/>
        <w:numPr>
          <w:ilvl w:val="0"/>
          <w:numId w:val="9"/>
        </w:numPr>
        <w:spacing w:line="360" w:lineRule="auto"/>
        <w:jc w:val="both"/>
      </w:pPr>
      <w:r>
        <w:rPr>
          <w:rFonts w:ascii="Calibri" w:hAnsi="Calibri" w:cs="Trebuchet MS"/>
          <w:sz w:val="24"/>
          <w:szCs w:val="24"/>
        </w:rPr>
        <w:t xml:space="preserve"> igiene sulla produzione e sul commercio;</w:t>
      </w:r>
    </w:p>
    <w:p w14:paraId="31FFED68" w14:textId="511394AD" w:rsidR="00CF1928" w:rsidRDefault="004D199D">
      <w:pPr>
        <w:pStyle w:val="Standard"/>
        <w:numPr>
          <w:ilvl w:val="0"/>
          <w:numId w:val="6"/>
        </w:numPr>
        <w:spacing w:line="360" w:lineRule="auto"/>
        <w:jc w:val="both"/>
      </w:pPr>
      <w:r>
        <w:rPr>
          <w:rFonts w:ascii="Calibri" w:hAnsi="Calibri" w:cs="Trebuchet MS"/>
          <w:sz w:val="24"/>
          <w:szCs w:val="24"/>
        </w:rPr>
        <w:t xml:space="preserve"> igiene sui contenitori, garantendo il trasporto fino alla consegna mediante veicoli dotati delle necessarie condizioni di coibentazione e refrigerazione al fine di garantire la catena del freddo</w:t>
      </w:r>
      <w:r w:rsidR="000D5436">
        <w:rPr>
          <w:rFonts w:ascii="Calibri" w:hAnsi="Calibri" w:cs="Trebuchet MS"/>
          <w:sz w:val="24"/>
          <w:szCs w:val="24"/>
        </w:rPr>
        <w:t xml:space="preserve"> prevista</w:t>
      </w:r>
      <w:r>
        <w:rPr>
          <w:rFonts w:ascii="Calibri" w:hAnsi="Calibri" w:cs="Trebuchet MS"/>
          <w:sz w:val="24"/>
          <w:szCs w:val="24"/>
        </w:rPr>
        <w:t>. I prodotti da conservare a temperatura diversa da quella ambientale dovranno essere evidenziati mediante apposite etichette;</w:t>
      </w:r>
    </w:p>
    <w:p w14:paraId="42438819" w14:textId="77777777" w:rsidR="00CF1928" w:rsidRDefault="004D199D">
      <w:pPr>
        <w:pStyle w:val="Standard"/>
        <w:numPr>
          <w:ilvl w:val="0"/>
          <w:numId w:val="6"/>
        </w:numPr>
        <w:spacing w:line="360" w:lineRule="auto"/>
        <w:jc w:val="both"/>
      </w:pPr>
      <w:r>
        <w:rPr>
          <w:rFonts w:ascii="Calibri" w:hAnsi="Calibri" w:cs="Trebuchet MS"/>
          <w:sz w:val="24"/>
          <w:szCs w:val="24"/>
        </w:rPr>
        <w:t>infortunistica e prevenzione degli incendi.</w:t>
      </w:r>
    </w:p>
    <w:p w14:paraId="33C8EE57" w14:textId="77777777" w:rsidR="00CF1928" w:rsidRDefault="004D199D">
      <w:pPr>
        <w:pStyle w:val="Standard"/>
        <w:spacing w:line="360" w:lineRule="auto"/>
        <w:jc w:val="both"/>
      </w:pPr>
      <w:r>
        <w:rPr>
          <w:rFonts w:ascii="Calibri" w:hAnsi="Calibri" w:cs="Trebuchet MS"/>
          <w:sz w:val="24"/>
          <w:szCs w:val="24"/>
        </w:rPr>
        <w:t>La prestazione a carico del Fornitore avviene sulla base del corrispondente ordinativo e nel rispetto dei termini, delle modalità e dei luoghi ivi indicati.</w:t>
      </w:r>
    </w:p>
    <w:p w14:paraId="3E6C4F7B" w14:textId="450AD0D8" w:rsidR="00CF1928" w:rsidRDefault="004D199D">
      <w:pPr>
        <w:pStyle w:val="Standard"/>
        <w:spacing w:line="360" w:lineRule="auto"/>
        <w:jc w:val="both"/>
      </w:pPr>
      <w:r>
        <w:rPr>
          <w:rFonts w:ascii="Calibri" w:hAnsi="Calibri" w:cs="Trebuchet MS"/>
          <w:sz w:val="24"/>
          <w:szCs w:val="24"/>
        </w:rPr>
        <w:t xml:space="preserve">Il Fornitore deve effettuare le consegne entro </w:t>
      </w:r>
      <w:r w:rsidR="00A307D4" w:rsidRPr="000D5436">
        <w:rPr>
          <w:rFonts w:ascii="Calibri" w:hAnsi="Calibri" w:cs="Trebuchet MS"/>
          <w:b/>
          <w:bCs/>
          <w:sz w:val="24"/>
          <w:szCs w:val="24"/>
          <w:u w:val="single"/>
        </w:rPr>
        <w:t>5</w:t>
      </w:r>
      <w:r w:rsidRPr="000D5436">
        <w:rPr>
          <w:rFonts w:ascii="Calibri" w:hAnsi="Calibri" w:cs="Trebuchet MS"/>
          <w:b/>
          <w:bCs/>
          <w:sz w:val="24"/>
          <w:szCs w:val="24"/>
          <w:u w:val="single"/>
        </w:rPr>
        <w:t xml:space="preserve"> giorni</w:t>
      </w:r>
      <w:r w:rsidRPr="005A4320">
        <w:rPr>
          <w:rFonts w:ascii="Calibri" w:hAnsi="Calibri" w:cs="Trebuchet MS"/>
          <w:color w:val="FF0000"/>
          <w:sz w:val="24"/>
          <w:szCs w:val="24"/>
        </w:rPr>
        <w:t xml:space="preserve"> </w:t>
      </w:r>
      <w:r>
        <w:rPr>
          <w:rFonts w:ascii="Calibri" w:hAnsi="Calibri" w:cs="Trebuchet MS"/>
          <w:sz w:val="24"/>
          <w:szCs w:val="24"/>
        </w:rPr>
        <w:t>naturali consecutivi dalla data di ricevimento dell’ordine, a proprio rischio e con carico di spese di qualsiasi natura (in porto franco).</w:t>
      </w:r>
    </w:p>
    <w:p w14:paraId="5C31ED49" w14:textId="62E52034" w:rsidR="00CF1928" w:rsidRDefault="004D199D">
      <w:pPr>
        <w:pStyle w:val="Standard"/>
        <w:spacing w:line="360" w:lineRule="auto"/>
        <w:jc w:val="both"/>
      </w:pPr>
      <w:r>
        <w:rPr>
          <w:rFonts w:ascii="Calibri" w:hAnsi="Calibri" w:cs="Trebuchet MS"/>
          <w:sz w:val="24"/>
          <w:szCs w:val="24"/>
        </w:rPr>
        <w:t xml:space="preserve">In situazioni di particolare necessità ed urgenza, da dichiararsi a cura della Stazione Appaltante, il Fornitore dovrà provvedere, sempre a proprio rischio e spese, alla consegna delle merci entro e non oltre </w:t>
      </w:r>
      <w:r>
        <w:rPr>
          <w:rFonts w:ascii="Calibri" w:hAnsi="Calibri" w:cs="Trebuchet MS"/>
          <w:i/>
          <w:iCs/>
          <w:sz w:val="24"/>
          <w:szCs w:val="24"/>
        </w:rPr>
        <w:t xml:space="preserve">2 </w:t>
      </w:r>
      <w:r>
        <w:rPr>
          <w:rFonts w:ascii="Calibri" w:hAnsi="Calibri" w:cs="Trebuchet MS"/>
          <w:sz w:val="24"/>
          <w:szCs w:val="24"/>
        </w:rPr>
        <w:t>giorni naturali consecutivi dal ricevimento della richiesta.</w:t>
      </w:r>
    </w:p>
    <w:p w14:paraId="23E17DDD" w14:textId="4149A936" w:rsidR="0034480D" w:rsidRDefault="004D199D">
      <w:pPr>
        <w:pStyle w:val="Standard"/>
        <w:spacing w:line="360" w:lineRule="auto"/>
        <w:jc w:val="both"/>
        <w:rPr>
          <w:rFonts w:ascii="Calibri" w:hAnsi="Calibri" w:cs="Trebuchet MS"/>
          <w:sz w:val="24"/>
          <w:szCs w:val="24"/>
        </w:rPr>
      </w:pPr>
      <w:r>
        <w:rPr>
          <w:rFonts w:ascii="Calibri" w:hAnsi="Calibri" w:cs="Trebuchet MS"/>
          <w:sz w:val="24"/>
          <w:szCs w:val="24"/>
        </w:rPr>
        <w:t>La Stazione Appaltante ha, tuttavia, la facoltà, da esercitarsi entro 24 ore dall’invio dell’ordine, di annullarlo, avvalendosi dello stesso strumento utilizzato per l’invio dell’ordine medesimo. Trascorso tale termine, l’ordine diverrà irrevocabile.</w:t>
      </w:r>
    </w:p>
    <w:p w14:paraId="4B901BDA" w14:textId="38D03476" w:rsidR="0034480D" w:rsidRPr="0034480D" w:rsidRDefault="0034480D">
      <w:pPr>
        <w:pStyle w:val="Standard"/>
        <w:spacing w:line="360" w:lineRule="auto"/>
        <w:jc w:val="both"/>
        <w:rPr>
          <w:rFonts w:ascii="Calibri" w:hAnsi="Calibri" w:cs="Trebuchet MS"/>
          <w:sz w:val="24"/>
          <w:szCs w:val="24"/>
        </w:rPr>
      </w:pPr>
      <w:r>
        <w:rPr>
          <w:rFonts w:ascii="Calibri" w:hAnsi="Calibri" w:cs="Trebuchet MS"/>
          <w:sz w:val="24"/>
          <w:szCs w:val="24"/>
        </w:rPr>
        <w:t>I vaccini consegnati dovranno avere una validità residuale non inferiore ai 2/3 (due terzi) rispetto alla complessiva validità del vaccino.</w:t>
      </w:r>
    </w:p>
    <w:p w14:paraId="54764EB1" w14:textId="77777777" w:rsidR="00CF1928" w:rsidRDefault="004D199D">
      <w:pPr>
        <w:pStyle w:val="Standard"/>
        <w:spacing w:line="360" w:lineRule="auto"/>
        <w:jc w:val="both"/>
      </w:pPr>
      <w:r>
        <w:rPr>
          <w:rFonts w:ascii="Calibri" w:hAnsi="Calibri" w:cs="Trebuchet MS"/>
          <w:sz w:val="24"/>
          <w:szCs w:val="24"/>
        </w:rPr>
        <w:t xml:space="preserve">In caso di rifiuto della fornitura, perché non conforme, non seguito da una tempestiva sostituzione, entro </w:t>
      </w:r>
      <w:r>
        <w:rPr>
          <w:rFonts w:ascii="Calibri" w:hAnsi="Calibri" w:cs="Trebuchet MS"/>
          <w:i/>
          <w:iCs/>
          <w:sz w:val="24"/>
          <w:szCs w:val="24"/>
        </w:rPr>
        <w:t xml:space="preserve">2 </w:t>
      </w:r>
      <w:r>
        <w:rPr>
          <w:rFonts w:ascii="Calibri" w:hAnsi="Calibri" w:cs="Trebuchet MS"/>
          <w:sz w:val="24"/>
          <w:szCs w:val="24"/>
        </w:rPr>
        <w:t xml:space="preserve"> giorni lavorativi, la Stazione Appaltante avrà la facoltà di procedere, in relazione alle proprie necessità e nel rispetto della normativa ad evidenza pubblica,  agli acquisti presso altre imprese con addebito al Fornitore inadempiente delle eventuali maggiori spese, senza possibilità di opposizione e/o eccezione di sorta da parte del medesimo, salvo, in ogni caso, l’applicazione delle penali di cui al paragrafo “Inadempimenti e Penali” e l’eventuale risarcimento dei maggiori danni subiti.</w:t>
      </w:r>
    </w:p>
    <w:p w14:paraId="59B5CFFD" w14:textId="3221D453" w:rsidR="00CF1928" w:rsidRDefault="004D199D">
      <w:pPr>
        <w:pStyle w:val="Standard"/>
        <w:spacing w:line="360" w:lineRule="auto"/>
        <w:jc w:val="both"/>
        <w:rPr>
          <w:rFonts w:ascii="Calibri" w:hAnsi="Calibri" w:cs="Trebuchet MS"/>
          <w:sz w:val="24"/>
          <w:szCs w:val="24"/>
        </w:rPr>
      </w:pPr>
      <w:r>
        <w:rPr>
          <w:rFonts w:ascii="Calibri" w:hAnsi="Calibri" w:cs="Trebuchet MS"/>
          <w:sz w:val="24"/>
          <w:szCs w:val="24"/>
        </w:rPr>
        <w:t>Il Fornitore dovrà predisporre la propria struttura commerciale alla ricezione degli ordini sia via fax che per posta elettronica certificata.</w:t>
      </w:r>
    </w:p>
    <w:p w14:paraId="58A34E57" w14:textId="127309E8" w:rsidR="005A4320" w:rsidRPr="00A307D4" w:rsidRDefault="005A4320" w:rsidP="005A4320">
      <w:pPr>
        <w:pStyle w:val="Standard"/>
        <w:spacing w:line="360" w:lineRule="auto"/>
        <w:jc w:val="both"/>
        <w:rPr>
          <w:rFonts w:asciiTheme="minorHAnsi" w:hAnsiTheme="minorHAnsi"/>
          <w:sz w:val="24"/>
          <w:szCs w:val="24"/>
        </w:rPr>
      </w:pPr>
      <w:r w:rsidRPr="00A307D4">
        <w:rPr>
          <w:rFonts w:asciiTheme="minorHAnsi" w:hAnsiTheme="minorHAnsi"/>
          <w:sz w:val="24"/>
          <w:szCs w:val="24"/>
        </w:rPr>
        <w:lastRenderedPageBreak/>
        <w:t>All’Operatore economico partecipante e successivamente al Fornitore è richiesto che debba garantire, ai fini della partecipazione alla procedura di gara</w:t>
      </w:r>
      <w:r w:rsidR="00A307D4" w:rsidRPr="00A307D4">
        <w:rPr>
          <w:rFonts w:asciiTheme="minorHAnsi" w:hAnsiTheme="minorHAnsi"/>
          <w:sz w:val="24"/>
          <w:szCs w:val="24"/>
        </w:rPr>
        <w:t>:</w:t>
      </w:r>
    </w:p>
    <w:p w14:paraId="0C013E2B" w14:textId="461B8FBC" w:rsidR="005A4320" w:rsidRPr="00A307D4" w:rsidRDefault="005A4320" w:rsidP="005A4320">
      <w:pPr>
        <w:pStyle w:val="Standard"/>
        <w:spacing w:line="360" w:lineRule="auto"/>
        <w:jc w:val="both"/>
        <w:rPr>
          <w:rFonts w:asciiTheme="minorHAnsi" w:hAnsiTheme="minorHAnsi"/>
          <w:sz w:val="24"/>
          <w:szCs w:val="24"/>
        </w:rPr>
      </w:pPr>
      <w:r w:rsidRPr="00A307D4">
        <w:rPr>
          <w:rFonts w:asciiTheme="minorHAnsi" w:hAnsiTheme="minorHAnsi"/>
          <w:sz w:val="24"/>
          <w:szCs w:val="24"/>
        </w:rPr>
        <w:t>− almeno il 35% dei volumi offerti da consegnare entro il</w:t>
      </w:r>
      <w:r w:rsidR="000D5436">
        <w:rPr>
          <w:rFonts w:asciiTheme="minorHAnsi" w:hAnsiTheme="minorHAnsi"/>
          <w:sz w:val="24"/>
          <w:szCs w:val="24"/>
        </w:rPr>
        <w:t xml:space="preserve"> 29</w:t>
      </w:r>
      <w:r w:rsidRPr="00A307D4">
        <w:rPr>
          <w:rFonts w:asciiTheme="minorHAnsi" w:hAnsiTheme="minorHAnsi"/>
          <w:sz w:val="24"/>
          <w:szCs w:val="24"/>
        </w:rPr>
        <w:t xml:space="preserve"> </w:t>
      </w:r>
      <w:r w:rsidR="000D5436">
        <w:rPr>
          <w:rFonts w:asciiTheme="minorHAnsi" w:hAnsiTheme="minorHAnsi"/>
          <w:sz w:val="24"/>
          <w:szCs w:val="24"/>
        </w:rPr>
        <w:t>settembre</w:t>
      </w:r>
      <w:r w:rsidRPr="00A307D4">
        <w:rPr>
          <w:rFonts w:asciiTheme="minorHAnsi" w:hAnsiTheme="minorHAnsi"/>
          <w:sz w:val="24"/>
          <w:szCs w:val="24"/>
        </w:rPr>
        <w:t xml:space="preserve"> 202</w:t>
      </w:r>
      <w:r w:rsidR="000D5436">
        <w:rPr>
          <w:rFonts w:asciiTheme="minorHAnsi" w:hAnsiTheme="minorHAnsi"/>
          <w:sz w:val="24"/>
          <w:szCs w:val="24"/>
        </w:rPr>
        <w:t>3</w:t>
      </w:r>
      <w:r w:rsidRPr="00A307D4">
        <w:rPr>
          <w:rFonts w:asciiTheme="minorHAnsi" w:hAnsiTheme="minorHAnsi"/>
          <w:sz w:val="24"/>
          <w:szCs w:val="24"/>
        </w:rPr>
        <w:t>;</w:t>
      </w:r>
    </w:p>
    <w:p w14:paraId="26BAB3F1" w14:textId="610C6846" w:rsidR="005A4320" w:rsidRPr="00A307D4" w:rsidRDefault="005A4320" w:rsidP="005A4320">
      <w:pPr>
        <w:pStyle w:val="Standard"/>
        <w:spacing w:line="360" w:lineRule="auto"/>
        <w:jc w:val="both"/>
        <w:rPr>
          <w:rFonts w:asciiTheme="minorHAnsi" w:hAnsiTheme="minorHAnsi"/>
          <w:sz w:val="24"/>
          <w:szCs w:val="24"/>
        </w:rPr>
      </w:pPr>
      <w:r w:rsidRPr="00A307D4">
        <w:rPr>
          <w:rFonts w:asciiTheme="minorHAnsi" w:hAnsiTheme="minorHAnsi"/>
          <w:sz w:val="24"/>
          <w:szCs w:val="24"/>
        </w:rPr>
        <w:t xml:space="preserve">− almeno un ulteriore 35% entro </w:t>
      </w:r>
      <w:r w:rsidR="000B4ACF">
        <w:rPr>
          <w:rFonts w:asciiTheme="minorHAnsi" w:hAnsiTheme="minorHAnsi"/>
          <w:sz w:val="24"/>
          <w:szCs w:val="24"/>
        </w:rPr>
        <w:t xml:space="preserve">il </w:t>
      </w:r>
      <w:r w:rsidR="000D5436">
        <w:rPr>
          <w:rFonts w:asciiTheme="minorHAnsi" w:hAnsiTheme="minorHAnsi"/>
          <w:sz w:val="24"/>
          <w:szCs w:val="24"/>
        </w:rPr>
        <w:t>10</w:t>
      </w:r>
      <w:r w:rsidRPr="00A307D4">
        <w:rPr>
          <w:rFonts w:asciiTheme="minorHAnsi" w:hAnsiTheme="minorHAnsi"/>
          <w:sz w:val="24"/>
          <w:szCs w:val="24"/>
        </w:rPr>
        <w:t xml:space="preserve"> ottobre 202</w:t>
      </w:r>
      <w:r w:rsidR="000D5436">
        <w:rPr>
          <w:rFonts w:asciiTheme="minorHAnsi" w:hAnsiTheme="minorHAnsi"/>
          <w:sz w:val="24"/>
          <w:szCs w:val="24"/>
        </w:rPr>
        <w:t>3</w:t>
      </w:r>
      <w:r w:rsidRPr="00A307D4">
        <w:rPr>
          <w:rFonts w:asciiTheme="minorHAnsi" w:hAnsiTheme="minorHAnsi"/>
          <w:sz w:val="24"/>
          <w:szCs w:val="24"/>
        </w:rPr>
        <w:t>;</w:t>
      </w:r>
    </w:p>
    <w:p w14:paraId="56DB5050" w14:textId="2977CB2A" w:rsidR="005A4320" w:rsidRPr="00A307D4" w:rsidRDefault="005A4320" w:rsidP="005A4320">
      <w:pPr>
        <w:pStyle w:val="Standard"/>
        <w:spacing w:line="360" w:lineRule="auto"/>
        <w:jc w:val="both"/>
        <w:rPr>
          <w:rFonts w:asciiTheme="minorHAnsi" w:hAnsiTheme="minorHAnsi"/>
          <w:sz w:val="24"/>
          <w:szCs w:val="24"/>
        </w:rPr>
      </w:pPr>
      <w:r w:rsidRPr="00A307D4">
        <w:rPr>
          <w:rFonts w:asciiTheme="minorHAnsi" w:hAnsiTheme="minorHAnsi"/>
          <w:sz w:val="24"/>
          <w:szCs w:val="24"/>
        </w:rPr>
        <w:t xml:space="preserve">− i restanti quantitativi entro </w:t>
      </w:r>
      <w:r w:rsidR="000B4ACF">
        <w:rPr>
          <w:rFonts w:asciiTheme="minorHAnsi" w:hAnsiTheme="minorHAnsi"/>
          <w:sz w:val="24"/>
          <w:szCs w:val="24"/>
        </w:rPr>
        <w:t xml:space="preserve">il </w:t>
      </w:r>
      <w:r w:rsidR="000D5436">
        <w:rPr>
          <w:rFonts w:asciiTheme="minorHAnsi" w:hAnsiTheme="minorHAnsi"/>
          <w:sz w:val="24"/>
          <w:szCs w:val="24"/>
        </w:rPr>
        <w:t>05</w:t>
      </w:r>
      <w:r w:rsidRPr="00A307D4">
        <w:rPr>
          <w:rFonts w:asciiTheme="minorHAnsi" w:hAnsiTheme="minorHAnsi"/>
          <w:sz w:val="24"/>
          <w:szCs w:val="24"/>
        </w:rPr>
        <w:t xml:space="preserve"> novembre 202</w:t>
      </w:r>
      <w:r w:rsidR="000D5436">
        <w:rPr>
          <w:rFonts w:asciiTheme="minorHAnsi" w:hAnsiTheme="minorHAnsi"/>
          <w:sz w:val="24"/>
          <w:szCs w:val="24"/>
        </w:rPr>
        <w:t>3</w:t>
      </w:r>
      <w:r w:rsidR="00A307D4" w:rsidRPr="00A307D4">
        <w:rPr>
          <w:rFonts w:asciiTheme="minorHAnsi" w:hAnsiTheme="minorHAnsi"/>
          <w:sz w:val="24"/>
          <w:szCs w:val="24"/>
        </w:rPr>
        <w:t>.</w:t>
      </w:r>
    </w:p>
    <w:p w14:paraId="2EF90822" w14:textId="77777777" w:rsidR="00CF1928" w:rsidRDefault="00CF1928">
      <w:pPr>
        <w:pStyle w:val="Standard"/>
        <w:spacing w:line="360" w:lineRule="auto"/>
        <w:rPr>
          <w:rFonts w:ascii="Calibri" w:hAnsi="Calibri" w:cs="Trebuchet MS"/>
          <w:sz w:val="24"/>
          <w:szCs w:val="24"/>
          <w:shd w:val="clear" w:color="auto" w:fill="FFFF00"/>
        </w:rPr>
      </w:pPr>
    </w:p>
    <w:p w14:paraId="22B9D76C" w14:textId="77777777" w:rsidR="00CF1928" w:rsidRDefault="004D199D">
      <w:pPr>
        <w:pStyle w:val="Standard"/>
        <w:spacing w:line="360" w:lineRule="auto"/>
      </w:pPr>
      <w:r>
        <w:rPr>
          <w:rFonts w:ascii="Calibri" w:hAnsi="Calibri" w:cs="Trebuchet MS"/>
          <w:b/>
          <w:bCs/>
          <w:sz w:val="24"/>
          <w:szCs w:val="24"/>
        </w:rPr>
        <w:t>5 – Garanzia a corredo dell’esecuzione del contratto</w:t>
      </w:r>
    </w:p>
    <w:p w14:paraId="4E8A0042" w14:textId="77777777" w:rsidR="00CF1928" w:rsidRDefault="004D199D">
      <w:pPr>
        <w:pStyle w:val="Standard"/>
        <w:spacing w:line="360" w:lineRule="auto"/>
        <w:jc w:val="both"/>
      </w:pPr>
      <w:r>
        <w:rPr>
          <w:rFonts w:ascii="Calibri" w:hAnsi="Calibri" w:cs="Trebuchet MS"/>
          <w:sz w:val="24"/>
          <w:szCs w:val="24"/>
        </w:rPr>
        <w:t>Ai fini della stipula di ciascun contratto, l’aggiudicatario del singolo lotto dovrà prestare, ai sensi dell’art. 103 del D. Lgs. n. 50/2016, una garanzia fideiussoria. L’importo della cauzione è ridotto ove l’aggiudicatario sia in possesso dei requisiti elencati all’art. 93, comma 7, del d. lgs. n. 50/2016. La mancata costituzione di detta garanzia determina la revoca dell’aggiudicazione e la conseguente acquisizione della cauzione provvisoria relativa al/ai lotto/i oggetto di revoca.</w:t>
      </w:r>
    </w:p>
    <w:p w14:paraId="1F38BC65" w14:textId="77777777" w:rsidR="00CF1928" w:rsidRDefault="004D199D">
      <w:pPr>
        <w:pStyle w:val="Standard"/>
        <w:widowControl w:val="0"/>
        <w:spacing w:line="360" w:lineRule="auto"/>
        <w:jc w:val="both"/>
      </w:pPr>
      <w:r>
        <w:rPr>
          <w:rFonts w:ascii="Calibri" w:hAnsi="Calibri" w:cs="Trebuchet MS"/>
          <w:sz w:val="24"/>
          <w:szCs w:val="24"/>
        </w:rPr>
        <w:t>La garanzia copre l'adempimento di tutte le obbligazioni del contratto e del risarcimento dei danni derivanti dall'eventuale inadempimento delle obbligazioni stesse, nonché il rimborso delle somme pagate in più all'esecutore rispetto alle risultanze della liquidazione finale, salva comunque la risarcibilità del maggior danno verso l'appaltatore, l'eventuale maggiore spesa sostenuta per il completamento delle prestazioni nel caso di risoluzione del contratto disposta in danno dell'esecutore, il pagamento di quanto dovuto dall'esecutore per le inadempienze derivanti dalla inosservanza di norme e prescrizioni dei contratti collettivi, delle leggi e dei regolamenti sulla tutela, protezione, assicurazione, assistenza e sicurezza fisica dei lavoratori.</w:t>
      </w:r>
    </w:p>
    <w:p w14:paraId="5EA02F0E" w14:textId="77777777" w:rsidR="00CF1928" w:rsidRDefault="004D199D">
      <w:pPr>
        <w:pStyle w:val="usoboll1"/>
        <w:spacing w:line="360" w:lineRule="auto"/>
        <w:ind w:right="16"/>
      </w:pPr>
      <w:r>
        <w:rPr>
          <w:rFonts w:ascii="Calibri" w:hAnsi="Calibri" w:cs="Trebuchet MS"/>
        </w:rPr>
        <w:t>Qualora l’ammontare della garanzia dovesse ridursi per effetto dell’applicazione di penali, o per qualsiasi altra causa, l’aggiudicatario dovrà provvedere al reintegro, secondo quanto espressamente previsto nello Schema di Contratto. In caso di inottemperanza, la reintegrazione si effettua a valere sui ratei di prezzo da corrispondere all'esecutore.</w:t>
      </w:r>
    </w:p>
    <w:p w14:paraId="423A070D" w14:textId="7E665013" w:rsidR="00CF1928" w:rsidRDefault="004D199D">
      <w:pPr>
        <w:pStyle w:val="Standard"/>
        <w:widowControl w:val="0"/>
        <w:spacing w:line="360" w:lineRule="auto"/>
        <w:jc w:val="both"/>
      </w:pPr>
      <w:r>
        <w:rPr>
          <w:rFonts w:ascii="Calibri" w:hAnsi="Calibri" w:cs="Trebuchet MS"/>
          <w:sz w:val="24"/>
          <w:szCs w:val="24"/>
        </w:rPr>
        <w:t>La garanzia è progressivamente svincolata in ragione e a misura dell'avanzamento dell'esecuzione, nel limite massimo dell’80% (ottanta per cento)</w:t>
      </w:r>
      <w:r w:rsidR="00C84390">
        <w:rPr>
          <w:rFonts w:ascii="Calibri" w:hAnsi="Calibri" w:cs="Trebuchet MS"/>
          <w:sz w:val="24"/>
          <w:szCs w:val="24"/>
        </w:rPr>
        <w:t xml:space="preserve"> </w:t>
      </w:r>
      <w:r>
        <w:rPr>
          <w:rFonts w:ascii="Calibri" w:hAnsi="Calibri" w:cs="Trebuchet MS"/>
          <w:sz w:val="24"/>
          <w:szCs w:val="24"/>
        </w:rPr>
        <w:t>dell'iniziale importo garantito, secondo quanto stabilito all’art. 103 del D. Lgs. n. 50/2016.</w:t>
      </w:r>
    </w:p>
    <w:p w14:paraId="472D44D4" w14:textId="77777777" w:rsidR="00CF1928" w:rsidRDefault="00CF1928">
      <w:pPr>
        <w:pStyle w:val="Standard"/>
        <w:widowControl w:val="0"/>
        <w:spacing w:line="300" w:lineRule="exact"/>
        <w:ind w:left="42"/>
        <w:jc w:val="both"/>
        <w:rPr>
          <w:rFonts w:ascii="Calibri" w:hAnsi="Calibri" w:cs="Trebuchet MS"/>
        </w:rPr>
      </w:pPr>
    </w:p>
    <w:p w14:paraId="2EB66151" w14:textId="77777777" w:rsidR="00CF1928" w:rsidRDefault="004D199D">
      <w:pPr>
        <w:pStyle w:val="Standard"/>
        <w:spacing w:line="360" w:lineRule="auto"/>
      </w:pPr>
      <w:r>
        <w:rPr>
          <w:rFonts w:ascii="Calibri" w:hAnsi="Calibri" w:cs="Trebuchet MS"/>
          <w:b/>
          <w:bCs/>
          <w:sz w:val="24"/>
          <w:szCs w:val="24"/>
        </w:rPr>
        <w:t>6 – Pagamenti</w:t>
      </w:r>
    </w:p>
    <w:p w14:paraId="25C03446" w14:textId="77777777" w:rsidR="00CF1928" w:rsidRDefault="004D199D">
      <w:pPr>
        <w:pStyle w:val="Standard"/>
        <w:spacing w:line="360" w:lineRule="auto"/>
        <w:jc w:val="both"/>
      </w:pPr>
      <w:r>
        <w:rPr>
          <w:rFonts w:ascii="Calibri" w:hAnsi="Calibri" w:cs="Trebuchet MS"/>
          <w:sz w:val="24"/>
          <w:szCs w:val="24"/>
        </w:rPr>
        <w:t xml:space="preserve">Il pagamento del corrispettivo sarà disposto, successivamente al ricevimento dei beni, previa accettazione degli stessi, a seguito di presentazione di regolare fattura. La Stazione Appaltante opererà sull’importo netto progressivo delle prestazioni una ritenuta dello 0,5 % che verrà liquidata </w:t>
      </w:r>
      <w:r>
        <w:rPr>
          <w:rFonts w:ascii="Calibri" w:hAnsi="Calibri" w:cs="Trebuchet MS"/>
          <w:sz w:val="24"/>
          <w:szCs w:val="24"/>
        </w:rPr>
        <w:lastRenderedPageBreak/>
        <w:t>dalla stessa Stazione Appaltante solo al termine del Contratto e previa acquisizione del documento unico di regolarità contributiva (DURC).</w:t>
      </w:r>
    </w:p>
    <w:p w14:paraId="59A21EB8" w14:textId="77777777" w:rsidR="00CF1928" w:rsidRDefault="004D199D">
      <w:pPr>
        <w:pStyle w:val="Standard"/>
        <w:spacing w:line="360" w:lineRule="auto"/>
        <w:jc w:val="both"/>
      </w:pPr>
      <w:r>
        <w:rPr>
          <w:rFonts w:ascii="Calibri" w:hAnsi="Calibri" w:cs="Trebuchet MS"/>
          <w:sz w:val="24"/>
          <w:szCs w:val="24"/>
        </w:rPr>
        <w:t>Ciascuna fattura dovrà contenere il riferimento al contratto cui si riferisce e al CIG (Codice Identificativo Gara). Nel caso in cui il Fornitore emetta fattura avente ad oggetto il pagamento del corrispettivo di prestazioni riconducibili a più Lotti, la fattura medesima potrà contenere il riferimento al CIG di uno solo dei lotti per cui si richiede il pagamento.</w:t>
      </w:r>
    </w:p>
    <w:p w14:paraId="3B816903" w14:textId="77777777" w:rsidR="00CF1928" w:rsidRDefault="004D199D">
      <w:pPr>
        <w:pStyle w:val="Standard"/>
        <w:spacing w:line="360" w:lineRule="auto"/>
        <w:jc w:val="both"/>
      </w:pPr>
      <w:r>
        <w:rPr>
          <w:rFonts w:ascii="Calibri" w:hAnsi="Calibri" w:cs="Trebuchet MS"/>
          <w:sz w:val="24"/>
          <w:szCs w:val="24"/>
        </w:rPr>
        <w:t>I pagamenti per le forniture saranno effettuati sul conto corrente intestato al Fornitore di cui quest’ultimo dovrà fornire il codice IBAN in sede di stipula del Contratto. Il Contratto dovrà prevedere una clausola secondo cui il Fornitore si impegna a che il predetto conto operi nel rispetto della Legge 13 agosto 2010 n. 136 e s.m.i..</w:t>
      </w:r>
    </w:p>
    <w:p w14:paraId="6EA66EB4" w14:textId="77777777" w:rsidR="00CF1928" w:rsidRDefault="004D199D">
      <w:pPr>
        <w:pStyle w:val="Standard"/>
        <w:spacing w:line="360" w:lineRule="auto"/>
        <w:jc w:val="both"/>
      </w:pPr>
      <w:r>
        <w:rPr>
          <w:rFonts w:ascii="Calibri" w:hAnsi="Calibri" w:cs="Trebuchet MS"/>
          <w:sz w:val="24"/>
          <w:szCs w:val="24"/>
        </w:rPr>
        <w:t>Sempre in sede di stipula del Contratto, il Fornitore è tenuto a comunicare le generalità e il codice fiscale del/i delegato/i ad operare sul/i predetto/i conto/i alla Stazione Appaltante.</w:t>
      </w:r>
    </w:p>
    <w:p w14:paraId="01F1EEB3" w14:textId="77777777" w:rsidR="00CF1928" w:rsidRDefault="004D199D">
      <w:pPr>
        <w:pStyle w:val="Standard"/>
        <w:spacing w:line="360" w:lineRule="auto"/>
        <w:jc w:val="both"/>
      </w:pPr>
      <w:r>
        <w:rPr>
          <w:rFonts w:ascii="Calibri" w:hAnsi="Calibri" w:cs="Trebuchet MS"/>
          <w:sz w:val="24"/>
          <w:szCs w:val="24"/>
        </w:rPr>
        <w:t>Il Fornitore comunicherà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14:paraId="395EED85" w14:textId="77777777" w:rsidR="00CF1928" w:rsidRDefault="004D199D">
      <w:pPr>
        <w:pStyle w:val="Standard"/>
        <w:spacing w:line="360" w:lineRule="auto"/>
        <w:jc w:val="both"/>
      </w:pPr>
      <w:r>
        <w:rPr>
          <w:rFonts w:ascii="Calibri" w:hAnsi="Calibri" w:cs="Trebuchet MS"/>
          <w:sz w:val="24"/>
          <w:szCs w:val="24"/>
        </w:rPr>
        <w:t>I pagamenti delle forniture saranno effettuati nei termini di legge dalla data di ricevimento della fattura.</w:t>
      </w:r>
    </w:p>
    <w:p w14:paraId="09CACC68" w14:textId="77777777" w:rsidR="00CF1928" w:rsidRDefault="004D199D">
      <w:pPr>
        <w:pStyle w:val="Standard"/>
        <w:spacing w:line="360" w:lineRule="auto"/>
        <w:jc w:val="both"/>
      </w:pPr>
      <w:r>
        <w:rPr>
          <w:rFonts w:ascii="Calibri" w:hAnsi="Calibri" w:cs="Trebuchet MS"/>
          <w:sz w:val="24"/>
          <w:szCs w:val="24"/>
        </w:rPr>
        <w:t>Scaduti i termini di pagamento senza che sia stato emesso il mandato, al creditore possono essere corrisposti, a fronte di specifica richiesta, gli interessi moratori nei termini disposti per legge, salvo diverso accordo tra le parti.</w:t>
      </w:r>
    </w:p>
    <w:p w14:paraId="44106808" w14:textId="727BD82D" w:rsidR="00CF1928" w:rsidRPr="00E709CD" w:rsidRDefault="004D199D">
      <w:pPr>
        <w:pStyle w:val="Standard"/>
        <w:spacing w:line="360" w:lineRule="auto"/>
        <w:jc w:val="both"/>
      </w:pPr>
      <w:r>
        <w:rPr>
          <w:rFonts w:ascii="Calibri" w:hAnsi="Calibri" w:cs="Trebuchet MS"/>
          <w:sz w:val="24"/>
          <w:szCs w:val="24"/>
        </w:rPr>
        <w:t xml:space="preserve">Resta espressamente inteso che in nessun caso, ivi compreso quello relativo al ritardo nel pagamento dei corrispettivi dovuti, il Fornitore potrà sospendere la fornitura e, comunque, le attività previste nel Contratto; qualora il Fornitore si rendesse inadempiente rispetto a tale obbligo, il Contratto si potrà risolvere di diritto mediante semplice ed unilaterale dichiarazione della Stazione Appaltante da comunicarsi </w:t>
      </w:r>
      <w:r w:rsidR="00D04B81">
        <w:rPr>
          <w:rFonts w:ascii="Calibri" w:hAnsi="Calibri" w:cs="Trebuchet MS"/>
          <w:sz w:val="24"/>
          <w:szCs w:val="24"/>
        </w:rPr>
        <w:t>a mezzo PEC.</w:t>
      </w:r>
    </w:p>
    <w:p w14:paraId="4473C1DD" w14:textId="4FEACBD7" w:rsidR="00CF1928" w:rsidRDefault="004D199D">
      <w:pPr>
        <w:pStyle w:val="Standard"/>
        <w:spacing w:line="360" w:lineRule="auto"/>
        <w:jc w:val="both"/>
      </w:pPr>
      <w:r>
        <w:rPr>
          <w:rFonts w:ascii="Calibri" w:hAnsi="Calibri" w:cs="Trebuchet MS"/>
          <w:sz w:val="24"/>
          <w:szCs w:val="24"/>
        </w:rPr>
        <w:t>È ammessa la cessione dei crediti maturati dal Fornitore nei confronti della Stazione Appaltante</w:t>
      </w:r>
      <w:r w:rsidR="00C84390">
        <w:rPr>
          <w:rFonts w:ascii="Calibri" w:hAnsi="Calibri" w:cs="Trebuchet MS"/>
          <w:sz w:val="24"/>
          <w:szCs w:val="24"/>
        </w:rPr>
        <w:t xml:space="preserve"> </w:t>
      </w:r>
      <w:r>
        <w:rPr>
          <w:rFonts w:ascii="Calibri" w:hAnsi="Calibri" w:cs="Trebuchet MS"/>
          <w:sz w:val="24"/>
          <w:szCs w:val="24"/>
        </w:rPr>
        <w:t>a seguito della regolare e corretta esecuzione delle prestazioni oggetto del Contratto, nel rispetto dell’art. 106, comma 13, del D. Lgs. n. 50/2016.</w:t>
      </w:r>
      <w:r w:rsidR="00C84390">
        <w:rPr>
          <w:rFonts w:ascii="Calibri" w:hAnsi="Calibri" w:cs="Trebuchet MS"/>
          <w:sz w:val="24"/>
          <w:szCs w:val="24"/>
        </w:rPr>
        <w:t xml:space="preserve"> </w:t>
      </w:r>
      <w:r>
        <w:rPr>
          <w:rFonts w:ascii="Calibri" w:hAnsi="Calibri" w:cs="Trebuchet MS"/>
          <w:sz w:val="24"/>
          <w:szCs w:val="24"/>
        </w:rPr>
        <w:t xml:space="preserve">In ogni caso, è fatta salva ed impregiudicata la possibilità per la Stazione Appaltante di opporre al cessionario tutte le medesime eccezioni opponibili al Fornitore cedente, ivi inclusa, a titolo esemplificativo e non esaustivo, l’eventuale compensazione dei crediti derivanti dall’applicazione delle penali con quanto dovuto al Fornitore </w:t>
      </w:r>
      <w:r>
        <w:rPr>
          <w:rFonts w:ascii="Calibri" w:hAnsi="Calibri" w:cs="Trebuchet MS"/>
          <w:sz w:val="24"/>
          <w:szCs w:val="24"/>
        </w:rPr>
        <w:lastRenderedPageBreak/>
        <w:t xml:space="preserve">stesso. Le cessioni dei crediti devono essere stipulate mediante atto pubblico o scrittura privata autenticata e devono essere notificate alla Stazione Appaltante. Si applicano le disposizioni di cui alla Legge n. 52/1991. Resta fermo quanto previsto in tema di tracciabilità dei flussi finanziari di cui al successivo paragrafo 12 del presente Capitolato “Tracciabilità dei flussi finanziari”.     </w:t>
      </w:r>
    </w:p>
    <w:p w14:paraId="27E115A7" w14:textId="77777777" w:rsidR="00CF1928" w:rsidRDefault="00CF1928">
      <w:pPr>
        <w:pStyle w:val="Standard"/>
        <w:spacing w:line="360" w:lineRule="auto"/>
        <w:rPr>
          <w:rFonts w:ascii="Calibri" w:hAnsi="Calibri" w:cs="Trebuchet MS"/>
          <w:sz w:val="24"/>
          <w:szCs w:val="24"/>
        </w:rPr>
      </w:pPr>
    </w:p>
    <w:p w14:paraId="01085D65" w14:textId="77777777" w:rsidR="00CF1928" w:rsidRDefault="004D199D">
      <w:pPr>
        <w:pStyle w:val="Standard"/>
        <w:spacing w:line="360" w:lineRule="auto"/>
      </w:pPr>
      <w:r>
        <w:rPr>
          <w:rFonts w:ascii="Calibri" w:hAnsi="Calibri" w:cs="Trebuchet MS"/>
          <w:b/>
          <w:bCs/>
          <w:sz w:val="24"/>
          <w:szCs w:val="24"/>
        </w:rPr>
        <w:t>7 - Cessione del Contratto e Subappalto</w:t>
      </w:r>
    </w:p>
    <w:p w14:paraId="20FC5CDF" w14:textId="77777777" w:rsidR="00CF1928" w:rsidRDefault="004D199D">
      <w:pPr>
        <w:pStyle w:val="Standard"/>
        <w:spacing w:line="360" w:lineRule="auto"/>
        <w:jc w:val="both"/>
      </w:pPr>
      <w:r>
        <w:rPr>
          <w:rFonts w:ascii="Calibri" w:hAnsi="Calibri" w:cs="Trebuchet MS"/>
          <w:sz w:val="24"/>
          <w:szCs w:val="24"/>
        </w:rPr>
        <w:t>Il subappalto è ammesso nei limiti e con le modalità previste all’art. 105 del D. Lgs. n. 50/2016.</w:t>
      </w:r>
    </w:p>
    <w:p w14:paraId="0C83A444" w14:textId="77777777" w:rsidR="00CF1928" w:rsidRDefault="004D199D">
      <w:pPr>
        <w:pStyle w:val="Standard"/>
        <w:spacing w:line="360" w:lineRule="auto"/>
        <w:jc w:val="both"/>
      </w:pPr>
      <w:r>
        <w:rPr>
          <w:rFonts w:ascii="Calibri" w:hAnsi="Calibri" w:cs="Trebuchet MS"/>
          <w:sz w:val="24"/>
          <w:szCs w:val="24"/>
        </w:rPr>
        <w:t>Il subappalto non comporta alcuna modificazione agli obblighi e agli oneri dell’aggiudicatario che rimane unico e solo responsabile nei confronti della Stazione Appaltante. Il concorrente dovrà specificare in sede di offerta la parte della fornitura che intende eventualmente subappaltare. Il Fornitore deve depositare il contratto di subappalto almeno venti giorni prima dell’inizio dell’esecuzione delle attività subappaltate.</w:t>
      </w:r>
    </w:p>
    <w:p w14:paraId="31418298" w14:textId="77777777" w:rsidR="00CF1928" w:rsidRDefault="004D199D">
      <w:pPr>
        <w:pStyle w:val="Standard"/>
        <w:spacing w:line="360" w:lineRule="auto"/>
        <w:jc w:val="both"/>
      </w:pPr>
      <w:r>
        <w:rPr>
          <w:rFonts w:ascii="Calibri" w:hAnsi="Calibri" w:cs="Trebuchet MS"/>
          <w:iCs/>
          <w:sz w:val="24"/>
          <w:szCs w:val="24"/>
        </w:rPr>
        <w:t xml:space="preserve">Con il deposito del contratto di subappalto, il Fornitore deve trasmettere la documentazione attestante il possesso, da parte del subappaltatore, dei requisiti previsti dalla vigente normativa.  </w:t>
      </w:r>
    </w:p>
    <w:p w14:paraId="393BDC68" w14:textId="77777777" w:rsidR="00CF1928" w:rsidRDefault="004D199D">
      <w:pPr>
        <w:pStyle w:val="Standard"/>
        <w:spacing w:line="360" w:lineRule="auto"/>
        <w:jc w:val="both"/>
      </w:pPr>
      <w:r>
        <w:rPr>
          <w:rFonts w:ascii="Calibri" w:hAnsi="Calibri" w:cs="Trebuchet MS"/>
          <w:bCs/>
          <w:iCs/>
          <w:sz w:val="24"/>
          <w:szCs w:val="24"/>
        </w:rPr>
        <w:t>La Stazione Appaltante corrisponde direttamente al subappaltatore, al cottimista, al prestatore di servizi ed al fornitore di beni o lavori, l'importo dovuto per le prestazioni dagli stessi eseguite nei seguenti casi: a) quando il subappaltatore o il cottimista è una microimpresa o piccola impresa; b) in caso inadempimento da parte dell'appaltatore; c) su richiesta del subappaltatore e se la natura del contratto lo consente. In caso contrario, e salvo diversa indicazione del direttore dell’esecuzione, l’Impresa si obbliga a trasmettere alla Committente entro 20 giorni dalla data di ciascun pagamento effettuato nei confronti del subappaltatore, copia delle fatture quietanzate relative ai pagamenti da essa via via corrisposte al subappaltatore.</w:t>
      </w:r>
    </w:p>
    <w:p w14:paraId="48835DCB" w14:textId="77777777" w:rsidR="00CF1928" w:rsidRDefault="004D199D">
      <w:pPr>
        <w:pStyle w:val="Standard"/>
        <w:spacing w:line="360" w:lineRule="auto"/>
        <w:jc w:val="both"/>
      </w:pPr>
      <w:r>
        <w:rPr>
          <w:rFonts w:ascii="Calibri" w:hAnsi="Calibri" w:cs="Trebuchet MS"/>
          <w:iCs/>
          <w:sz w:val="24"/>
          <w:szCs w:val="24"/>
        </w:rPr>
        <w:t>È fatto divieto al Fornitore di subappaltare in tutto o in parte le forniture senza il preventivo consenso scritto della Stazione Appaltante, pena l’immediata risoluzione del Contratto con l’incameramento della cauzione definitiva, fatto salvo il riconoscimento di ogni conseguente maggior danno.</w:t>
      </w:r>
    </w:p>
    <w:p w14:paraId="72B210AE" w14:textId="77777777" w:rsidR="00CF1928" w:rsidRDefault="00CF1928">
      <w:pPr>
        <w:pStyle w:val="Standard"/>
        <w:spacing w:line="360" w:lineRule="auto"/>
        <w:jc w:val="both"/>
        <w:rPr>
          <w:rFonts w:ascii="Calibri" w:hAnsi="Calibri" w:cs="Trebuchet MS"/>
          <w:sz w:val="24"/>
          <w:szCs w:val="24"/>
        </w:rPr>
      </w:pPr>
    </w:p>
    <w:p w14:paraId="3436DE8B" w14:textId="77777777" w:rsidR="00CF1928" w:rsidRDefault="004D199D">
      <w:pPr>
        <w:pStyle w:val="Standard"/>
        <w:spacing w:line="360" w:lineRule="auto"/>
      </w:pPr>
      <w:r>
        <w:rPr>
          <w:rFonts w:ascii="Calibri" w:hAnsi="Calibri" w:cs="Trebuchet MS"/>
          <w:b/>
          <w:bCs/>
          <w:sz w:val="24"/>
          <w:szCs w:val="24"/>
        </w:rPr>
        <w:t>8 - Controlli Qualitativi/Quantitativi</w:t>
      </w:r>
    </w:p>
    <w:p w14:paraId="380453BD" w14:textId="77777777" w:rsidR="00CF1928" w:rsidRDefault="004D199D">
      <w:pPr>
        <w:pStyle w:val="Standard"/>
        <w:spacing w:line="360" w:lineRule="auto"/>
        <w:jc w:val="both"/>
      </w:pPr>
      <w:r>
        <w:rPr>
          <w:rFonts w:ascii="Calibri" w:hAnsi="Calibri" w:cs="Trebuchet MS"/>
          <w:sz w:val="24"/>
          <w:szCs w:val="24"/>
        </w:rPr>
        <w:t>La presa in consegna dei beni forniti non costituisce l'accettazione definitiva della fornitura.</w:t>
      </w:r>
    </w:p>
    <w:p w14:paraId="190D39F4" w14:textId="77777777" w:rsidR="00CF1928" w:rsidRDefault="004D199D">
      <w:pPr>
        <w:pStyle w:val="Standard"/>
        <w:spacing w:line="360" w:lineRule="auto"/>
        <w:jc w:val="both"/>
      </w:pPr>
      <w:r>
        <w:rPr>
          <w:rFonts w:ascii="Calibri" w:hAnsi="Calibri" w:cs="Trebuchet MS"/>
          <w:sz w:val="24"/>
          <w:szCs w:val="24"/>
        </w:rPr>
        <w:t>La merce non conforme e/o consegnata in eccesso potrà essere respinta senza alcuna formalità.</w:t>
      </w:r>
    </w:p>
    <w:p w14:paraId="2B74F346" w14:textId="77777777" w:rsidR="00CF1928" w:rsidRDefault="004D199D">
      <w:pPr>
        <w:pStyle w:val="Standard"/>
        <w:spacing w:line="360" w:lineRule="auto"/>
        <w:jc w:val="both"/>
      </w:pPr>
      <w:r>
        <w:rPr>
          <w:rFonts w:ascii="Calibri" w:hAnsi="Calibri" w:cs="Trebuchet MS"/>
          <w:sz w:val="24"/>
          <w:szCs w:val="24"/>
        </w:rPr>
        <w:t>La Stazione Appaltante si riserva il diritto di verificare la corrispondenza qualitativa della merce in sede di effettivo utilizzo.</w:t>
      </w:r>
    </w:p>
    <w:p w14:paraId="40A58FA8" w14:textId="77777777" w:rsidR="00CF1928" w:rsidRDefault="004D199D">
      <w:pPr>
        <w:pStyle w:val="Standard"/>
        <w:spacing w:line="360" w:lineRule="auto"/>
        <w:jc w:val="both"/>
      </w:pPr>
      <w:r>
        <w:rPr>
          <w:rFonts w:ascii="Calibri" w:hAnsi="Calibri" w:cs="Trebuchet MS"/>
          <w:sz w:val="24"/>
          <w:szCs w:val="24"/>
        </w:rPr>
        <w:lastRenderedPageBreak/>
        <w:t xml:space="preserve">I prodotti non conformi dovranno essere sostituiti entro </w:t>
      </w:r>
      <w:r>
        <w:rPr>
          <w:rFonts w:ascii="Calibri" w:hAnsi="Calibri" w:cs="Trebuchet MS"/>
          <w:i/>
          <w:iCs/>
          <w:sz w:val="24"/>
          <w:szCs w:val="24"/>
        </w:rPr>
        <w:t xml:space="preserve">2 </w:t>
      </w:r>
      <w:r>
        <w:rPr>
          <w:rFonts w:ascii="Calibri" w:hAnsi="Calibri" w:cs="Trebuchet MS"/>
          <w:sz w:val="24"/>
          <w:szCs w:val="24"/>
        </w:rPr>
        <w:t>giorni solari dal ricevimento della segnalazione scritta da parte della Stazione Appaltante.</w:t>
      </w:r>
    </w:p>
    <w:p w14:paraId="2A8507F5" w14:textId="4BC56744" w:rsidR="00CF1928" w:rsidRDefault="004D199D">
      <w:pPr>
        <w:pStyle w:val="Standard"/>
        <w:spacing w:line="360" w:lineRule="auto"/>
        <w:jc w:val="both"/>
      </w:pPr>
      <w:r>
        <w:rPr>
          <w:rFonts w:ascii="Calibri" w:hAnsi="Calibri" w:cs="Trebuchet MS"/>
          <w:sz w:val="24"/>
          <w:szCs w:val="24"/>
        </w:rPr>
        <w:t xml:space="preserve">La Stazione Appaltante metterà a disposizione, per il ritiro, la merce non conforme e/o consegnata in eccedenza e ne garantirà il deposito per complessivi </w:t>
      </w:r>
      <w:r>
        <w:rPr>
          <w:rFonts w:ascii="Calibri" w:hAnsi="Calibri" w:cs="Trebuchet MS"/>
          <w:i/>
          <w:iCs/>
          <w:sz w:val="24"/>
          <w:szCs w:val="24"/>
        </w:rPr>
        <w:t xml:space="preserve">7 </w:t>
      </w:r>
      <w:r>
        <w:rPr>
          <w:rFonts w:ascii="Calibri" w:hAnsi="Calibri" w:cs="Trebuchet MS"/>
          <w:sz w:val="24"/>
          <w:szCs w:val="24"/>
        </w:rPr>
        <w:t xml:space="preserve">giorni solari. Qualora entro tale data il Fornitore non provveda al ritiro della merce in eccedenza e/o non conforme, dopo </w:t>
      </w:r>
      <w:r>
        <w:rPr>
          <w:rFonts w:ascii="Calibri" w:hAnsi="Calibri" w:cs="Trebuchet MS"/>
          <w:i/>
          <w:iCs/>
          <w:sz w:val="24"/>
          <w:szCs w:val="24"/>
        </w:rPr>
        <w:t xml:space="preserve">2 </w:t>
      </w:r>
      <w:r>
        <w:rPr>
          <w:rFonts w:ascii="Calibri" w:hAnsi="Calibri" w:cs="Trebuchet MS"/>
          <w:sz w:val="24"/>
          <w:szCs w:val="24"/>
        </w:rPr>
        <w:t>giorni solari dalla medesima segnalazione la Stazione Appaltante potrà procedere allo smaltimento dei prodotti a spese del Fornitore, dandone ulteriore preventiva comunicazione scritta a mezzo posta elettronica certificata. Tali prodotti potranno essere restituiti, anche se tolti dal loro imballaggio originale.</w:t>
      </w:r>
    </w:p>
    <w:p w14:paraId="4C8F195F" w14:textId="77777777" w:rsidR="00CF1928" w:rsidRDefault="004D199D">
      <w:pPr>
        <w:pStyle w:val="Standard"/>
        <w:spacing w:line="360" w:lineRule="auto"/>
        <w:jc w:val="both"/>
      </w:pPr>
      <w:r>
        <w:rPr>
          <w:rFonts w:ascii="Calibri" w:hAnsi="Calibri" w:cs="Trebuchet MS"/>
          <w:sz w:val="24"/>
          <w:szCs w:val="24"/>
        </w:rPr>
        <w:t xml:space="preserve">Il Fornitore dovrà, a suo rischio e spese, provvedere al ritiro dei prodotti in eccedenza e/o non conformi, concordando con la Stazione Appaltante le modalità del ritiro. Il Fornitore non potrà pretendere alcun risarcimento o indennizzo per il deterioramento che gli stessi prodotti potrebbero subire durante il deposito, oltre </w:t>
      </w:r>
      <w:r>
        <w:rPr>
          <w:rFonts w:ascii="Calibri" w:hAnsi="Calibri" w:cs="Trebuchet MS"/>
          <w:i/>
          <w:iCs/>
          <w:sz w:val="24"/>
          <w:szCs w:val="24"/>
        </w:rPr>
        <w:t>7</w:t>
      </w:r>
      <w:r>
        <w:rPr>
          <w:rFonts w:ascii="Calibri" w:hAnsi="Calibri" w:cs="Trebuchet MS"/>
          <w:sz w:val="24"/>
          <w:szCs w:val="24"/>
        </w:rPr>
        <w:t xml:space="preserve"> giorni solari di deposito garantiti.</w:t>
      </w:r>
    </w:p>
    <w:p w14:paraId="28CD2369" w14:textId="77777777" w:rsidR="00CF1928" w:rsidRDefault="00CF1928">
      <w:pPr>
        <w:pStyle w:val="Standard"/>
        <w:spacing w:line="360" w:lineRule="auto"/>
        <w:rPr>
          <w:rFonts w:ascii="Calibri" w:hAnsi="Calibri" w:cs="Trebuchet MS"/>
          <w:sz w:val="24"/>
          <w:szCs w:val="24"/>
        </w:rPr>
      </w:pPr>
    </w:p>
    <w:p w14:paraId="60D43B13" w14:textId="77777777" w:rsidR="00CF1928" w:rsidRDefault="004D199D">
      <w:pPr>
        <w:pStyle w:val="Standard"/>
        <w:spacing w:line="360" w:lineRule="auto"/>
      </w:pPr>
      <w:r>
        <w:rPr>
          <w:rFonts w:ascii="Calibri" w:hAnsi="Calibri" w:cs="Trebuchet MS"/>
          <w:b/>
          <w:bCs/>
          <w:sz w:val="24"/>
          <w:szCs w:val="24"/>
        </w:rPr>
        <w:t>9 - Inadempimenti e penali</w:t>
      </w:r>
    </w:p>
    <w:p w14:paraId="48EB3021" w14:textId="77777777" w:rsidR="00CF1928" w:rsidRDefault="004D199D">
      <w:pPr>
        <w:pStyle w:val="Standard"/>
        <w:spacing w:line="360" w:lineRule="auto"/>
        <w:jc w:val="both"/>
      </w:pPr>
      <w:r>
        <w:rPr>
          <w:rFonts w:ascii="Calibri" w:hAnsi="Calibri" w:cs="Trebuchet MS"/>
          <w:sz w:val="24"/>
          <w:szCs w:val="24"/>
        </w:rPr>
        <w:t>Il Fornitore è soggetto all’applicazione di penali in caso di:</w:t>
      </w:r>
    </w:p>
    <w:p w14:paraId="01A22EDE" w14:textId="77777777" w:rsidR="00CF1928" w:rsidRDefault="004D199D">
      <w:pPr>
        <w:pStyle w:val="Standard"/>
        <w:spacing w:line="360" w:lineRule="auto"/>
        <w:jc w:val="both"/>
      </w:pPr>
      <w:r>
        <w:rPr>
          <w:rFonts w:ascii="Calibri" w:hAnsi="Calibri" w:cs="Trebuchet MS"/>
          <w:sz w:val="24"/>
          <w:szCs w:val="24"/>
        </w:rPr>
        <w:t>- Ritardi nell’esecuzione del contratto o esecuzione non conforme alle modalità indicate nel contratto medesimo;</w:t>
      </w:r>
    </w:p>
    <w:p w14:paraId="45ECBC10" w14:textId="77777777" w:rsidR="00CF1928" w:rsidRDefault="004D199D">
      <w:pPr>
        <w:pStyle w:val="Standard"/>
        <w:spacing w:line="360" w:lineRule="auto"/>
        <w:jc w:val="both"/>
      </w:pPr>
      <w:r>
        <w:rPr>
          <w:rFonts w:ascii="Calibri" w:hAnsi="Calibri" w:cs="Trebuchet MS"/>
          <w:sz w:val="24"/>
          <w:szCs w:val="24"/>
        </w:rPr>
        <w:t>- Ritardo nella sostituzione di prodotti risultati non conformi in fase di esecuzione del contratto o della consegna.</w:t>
      </w:r>
    </w:p>
    <w:p w14:paraId="25F77B3F" w14:textId="77777777" w:rsidR="00CF1928" w:rsidRDefault="00CF1928">
      <w:pPr>
        <w:pStyle w:val="Standard"/>
        <w:spacing w:line="360" w:lineRule="auto"/>
        <w:jc w:val="both"/>
        <w:rPr>
          <w:rFonts w:ascii="Calibri" w:hAnsi="Calibri" w:cs="Trebuchet MS"/>
          <w:sz w:val="24"/>
          <w:szCs w:val="24"/>
        </w:rPr>
      </w:pPr>
    </w:p>
    <w:p w14:paraId="223FDF21" w14:textId="77777777" w:rsidR="00CF1928" w:rsidRDefault="004D199D">
      <w:pPr>
        <w:pStyle w:val="Standard"/>
        <w:spacing w:line="360" w:lineRule="auto"/>
        <w:jc w:val="both"/>
      </w:pPr>
      <w:r>
        <w:rPr>
          <w:rFonts w:ascii="Calibri" w:hAnsi="Calibri" w:cs="Trebuchet MS"/>
          <w:sz w:val="24"/>
          <w:szCs w:val="24"/>
        </w:rPr>
        <w:t>Nel caso di ritardo nella consegna dei prodotti, intendendosi per ritardo l’ipotesi in cui il Fornitore non provveda alla consegna nel giorno pattuito, sarà dovuta, per ogni giorno di ritardo, una penale pari allo 0,5 per mille del valore dell’ordine emesso, fatto salvo il risarcimento del maggior danno. Nel caso in cui l’ordine sia stato solo parzialmente evaso, la penale sarà calcolata sulla quota parte dei quantitativi in ritardo.</w:t>
      </w:r>
    </w:p>
    <w:p w14:paraId="075FB428" w14:textId="77777777" w:rsidR="00CF1928" w:rsidRDefault="004D199D">
      <w:pPr>
        <w:pStyle w:val="Standard"/>
        <w:spacing w:line="360" w:lineRule="auto"/>
        <w:jc w:val="both"/>
      </w:pPr>
      <w:r>
        <w:rPr>
          <w:rFonts w:ascii="Calibri" w:hAnsi="Calibri" w:cs="Trebuchet MS"/>
          <w:sz w:val="24"/>
          <w:szCs w:val="24"/>
        </w:rPr>
        <w:t>Nel caso di consegna di prodotto non conforme alle modalità indicate nel Contratto, sarà dovuta, per ogni singolo prodotto non conforme, una penale pari allo 0,5 per mille del valore dell’ordine emesso, fatto salvo il risarcimento del maggior danno.</w:t>
      </w:r>
    </w:p>
    <w:p w14:paraId="7D8F1AB9" w14:textId="77777777" w:rsidR="00CF1928" w:rsidRDefault="004D199D">
      <w:pPr>
        <w:pStyle w:val="Standard"/>
        <w:spacing w:line="360" w:lineRule="auto"/>
        <w:jc w:val="both"/>
      </w:pPr>
      <w:r>
        <w:rPr>
          <w:rFonts w:ascii="Calibri" w:hAnsi="Calibri" w:cs="Trebuchet MS"/>
          <w:sz w:val="24"/>
          <w:szCs w:val="24"/>
        </w:rPr>
        <w:t>Nel caso di ritardo nella sostituzione dei prodotti risultati non conformi, sarà dovuta, per ogni giorno di ritardo, una penale pari a 1 per mille del valore dei prodotti risultati non conformi, fatto salvo il risarcimento del maggior danno.</w:t>
      </w:r>
    </w:p>
    <w:p w14:paraId="7601343F" w14:textId="77777777" w:rsidR="00CF1928" w:rsidRDefault="004D199D">
      <w:pPr>
        <w:pStyle w:val="Standard"/>
        <w:spacing w:line="360" w:lineRule="auto"/>
        <w:jc w:val="both"/>
      </w:pPr>
      <w:r>
        <w:rPr>
          <w:rFonts w:ascii="Calibri" w:hAnsi="Calibri" w:cs="Trebuchet MS"/>
          <w:sz w:val="24"/>
          <w:szCs w:val="24"/>
        </w:rPr>
        <w:lastRenderedPageBreak/>
        <w:t>È fatta salva la facoltà per la Stazione Appaltante di non attendere l’esecuzione della fornitura ovvero di non richiedere la sostituzione dei prodotti contestati e di rivolgersi a terzi per la fornitura, laddove ragioni di urgenza lo giustifichino ponendo a carico del Fornitore eventuali costi aggiuntivi. Resta inteso che il materiale non conforme sarà comunque restituito, con spese a carico del Fornitore.</w:t>
      </w:r>
    </w:p>
    <w:p w14:paraId="273E5DA2" w14:textId="77777777" w:rsidR="00CF1928" w:rsidRDefault="004D199D">
      <w:pPr>
        <w:pStyle w:val="Standard"/>
        <w:spacing w:line="360" w:lineRule="auto"/>
        <w:jc w:val="both"/>
      </w:pPr>
      <w:r>
        <w:rPr>
          <w:rFonts w:ascii="Calibri" w:hAnsi="Calibri" w:cs="Trebuchet MS"/>
          <w:sz w:val="24"/>
          <w:szCs w:val="24"/>
        </w:rPr>
        <w:t>La Stazione Appaltante potrà compensare i crediti derivanti dall’applicazione delle penali di cui al presente paragrafo con quanto dovuto al Fornitore a qualsiasi titolo, quindi anche con i corrispettivi maturati, ovvero, in difetto, avvalersi della cauzione definitiva.</w:t>
      </w:r>
    </w:p>
    <w:p w14:paraId="1E9AD65D" w14:textId="77777777" w:rsidR="00CF1928" w:rsidRDefault="004D199D">
      <w:pPr>
        <w:pStyle w:val="Standard"/>
        <w:spacing w:line="360" w:lineRule="auto"/>
        <w:jc w:val="both"/>
      </w:pPr>
      <w:r>
        <w:rPr>
          <w:rFonts w:ascii="Calibri" w:hAnsi="Calibri" w:cs="Trebuchet MS"/>
          <w:sz w:val="24"/>
          <w:szCs w:val="24"/>
        </w:rPr>
        <w:t>La richiesta e/o pagamento delle penali di cui al presente paragrafo, non esonera il Fornitore dall’adempimento dell’obbligazione per la quale si è reso inadempiente e che ha fatto sorgere l’obbligo del pagamento della penale medesima.</w:t>
      </w:r>
    </w:p>
    <w:p w14:paraId="351E5E57" w14:textId="77777777" w:rsidR="00CF1928" w:rsidRDefault="00CF1928">
      <w:pPr>
        <w:pStyle w:val="Standard"/>
        <w:spacing w:line="360" w:lineRule="auto"/>
        <w:jc w:val="both"/>
        <w:rPr>
          <w:rFonts w:ascii="Calibri" w:hAnsi="Calibri" w:cs="Trebuchet MS"/>
          <w:sz w:val="24"/>
          <w:szCs w:val="24"/>
        </w:rPr>
      </w:pPr>
    </w:p>
    <w:p w14:paraId="6915FE0E" w14:textId="77777777" w:rsidR="00CF1928" w:rsidRDefault="004D199D">
      <w:pPr>
        <w:pStyle w:val="Standard"/>
        <w:spacing w:line="360" w:lineRule="auto"/>
        <w:jc w:val="both"/>
      </w:pPr>
      <w:r>
        <w:rPr>
          <w:rFonts w:ascii="Calibri" w:hAnsi="Calibri" w:cs="Trebuchet MS"/>
          <w:b/>
          <w:bCs/>
          <w:sz w:val="24"/>
          <w:szCs w:val="24"/>
        </w:rPr>
        <w:t>10 – Risoluzione e recesso del Contratto</w:t>
      </w:r>
    </w:p>
    <w:p w14:paraId="0BC03FBF" w14:textId="4E43C8B2" w:rsidR="00CF1928" w:rsidRDefault="004D199D">
      <w:pPr>
        <w:pStyle w:val="Standard"/>
        <w:spacing w:line="360" w:lineRule="auto"/>
        <w:jc w:val="both"/>
      </w:pPr>
      <w:r>
        <w:rPr>
          <w:rFonts w:ascii="Calibri" w:hAnsi="Calibri" w:cs="Trebuchet MS"/>
          <w:sz w:val="24"/>
          <w:szCs w:val="24"/>
        </w:rPr>
        <w:t>È facoltà della Stazione Appaltante di recedere, in tutto o in parte, ed in qualsiasi momento, dal Contratto a seguito di mutamenti negli indirizzi</w:t>
      </w:r>
      <w:r w:rsidR="00383E16">
        <w:rPr>
          <w:rFonts w:ascii="Calibri" w:hAnsi="Calibri" w:cs="Trebuchet MS"/>
          <w:sz w:val="24"/>
          <w:szCs w:val="24"/>
        </w:rPr>
        <w:t xml:space="preserve"> </w:t>
      </w:r>
      <w:r w:rsidR="000D5436">
        <w:rPr>
          <w:rFonts w:ascii="Calibri" w:hAnsi="Calibri" w:cs="Trebuchet MS"/>
          <w:sz w:val="24"/>
          <w:szCs w:val="24"/>
        </w:rPr>
        <w:t>di utilizzo</w:t>
      </w:r>
      <w:r>
        <w:rPr>
          <w:rFonts w:ascii="Calibri" w:hAnsi="Calibri" w:cs="Trebuchet MS"/>
          <w:sz w:val="24"/>
          <w:szCs w:val="24"/>
        </w:rPr>
        <w:t xml:space="preserve">, ovvero nel caso di nuovi assetti organizzativi nella gestione degli approvvigionamenti di </w:t>
      </w:r>
      <w:r w:rsidR="00961488">
        <w:rPr>
          <w:rFonts w:ascii="Calibri" w:hAnsi="Calibri" w:cs="Trebuchet MS"/>
          <w:sz w:val="24"/>
          <w:szCs w:val="24"/>
        </w:rPr>
        <w:t>vaccini</w:t>
      </w:r>
      <w:r>
        <w:rPr>
          <w:rFonts w:ascii="Calibri" w:hAnsi="Calibri" w:cs="Trebuchet MS"/>
          <w:sz w:val="24"/>
          <w:szCs w:val="24"/>
        </w:rPr>
        <w:t>.</w:t>
      </w:r>
    </w:p>
    <w:p w14:paraId="695A4200" w14:textId="7751B068" w:rsidR="00CF1928" w:rsidRDefault="004D199D">
      <w:pPr>
        <w:pStyle w:val="Standard"/>
        <w:spacing w:line="360" w:lineRule="auto"/>
        <w:jc w:val="both"/>
      </w:pPr>
      <w:r>
        <w:rPr>
          <w:rFonts w:ascii="Calibri" w:hAnsi="Calibri" w:cs="Trebuchet MS"/>
          <w:sz w:val="24"/>
          <w:szCs w:val="24"/>
        </w:rPr>
        <w:t xml:space="preserve">In particolare, la Stazione Appaltante potrà, senza alcuna possibilità di rivalsa da parte del Fornitore, modificare nelle quantità od annullare la fornitura dei </w:t>
      </w:r>
      <w:r w:rsidR="00961488">
        <w:rPr>
          <w:rFonts w:ascii="Calibri" w:hAnsi="Calibri" w:cs="Trebuchet MS"/>
          <w:sz w:val="24"/>
          <w:szCs w:val="24"/>
        </w:rPr>
        <w:t>vaccini</w:t>
      </w:r>
      <w:r>
        <w:rPr>
          <w:rFonts w:ascii="Calibri" w:hAnsi="Calibri" w:cs="Trebuchet MS"/>
          <w:sz w:val="24"/>
          <w:szCs w:val="24"/>
        </w:rPr>
        <w:t xml:space="preserve"> qualora:</w:t>
      </w:r>
    </w:p>
    <w:p w14:paraId="46A2DC02" w14:textId="611844E9" w:rsidR="00CF1928" w:rsidRDefault="004D199D">
      <w:pPr>
        <w:pStyle w:val="Standard"/>
        <w:numPr>
          <w:ilvl w:val="0"/>
          <w:numId w:val="10"/>
        </w:numPr>
        <w:spacing w:line="360" w:lineRule="auto"/>
        <w:jc w:val="both"/>
      </w:pPr>
      <w:r>
        <w:rPr>
          <w:rFonts w:ascii="Calibri" w:hAnsi="Calibri" w:cs="Trebuchet MS"/>
          <w:sz w:val="24"/>
          <w:szCs w:val="24"/>
        </w:rPr>
        <w:t xml:space="preserve">nel </w:t>
      </w:r>
      <w:r w:rsidR="00961488">
        <w:rPr>
          <w:rFonts w:ascii="Calibri" w:hAnsi="Calibri" w:cs="Trebuchet MS"/>
          <w:sz w:val="24"/>
          <w:szCs w:val="24"/>
        </w:rPr>
        <w:t>Calendario vaccinale</w:t>
      </w:r>
      <w:r>
        <w:rPr>
          <w:rFonts w:ascii="Calibri" w:hAnsi="Calibri" w:cs="Trebuchet MS"/>
          <w:sz w:val="24"/>
          <w:szCs w:val="24"/>
        </w:rPr>
        <w:t xml:space="preserve"> regionale vengano assunte determinazioni differenti da quelle sottese alla predisposizione della presente fornitura;</w:t>
      </w:r>
    </w:p>
    <w:p w14:paraId="3676B1C4" w14:textId="0F9FC534" w:rsidR="00CF1928" w:rsidRDefault="004D199D">
      <w:pPr>
        <w:pStyle w:val="Standard"/>
        <w:spacing w:line="360" w:lineRule="auto"/>
        <w:jc w:val="both"/>
      </w:pPr>
      <w:r>
        <w:rPr>
          <w:rFonts w:ascii="Calibri" w:hAnsi="Calibri" w:cs="Trebuchet MS"/>
          <w:sz w:val="24"/>
          <w:szCs w:val="24"/>
        </w:rPr>
        <w:t xml:space="preserve">La Stazione Appaltante </w:t>
      </w:r>
      <w:r>
        <w:rPr>
          <w:rFonts w:ascii="Calibri" w:hAnsi="Calibri" w:cs="Trebuchet MS"/>
          <w:color w:val="000000"/>
          <w:sz w:val="24"/>
          <w:szCs w:val="24"/>
        </w:rPr>
        <w:t xml:space="preserve">che si avvale, nell’ipotesi </w:t>
      </w:r>
      <w:r>
        <w:rPr>
          <w:rFonts w:ascii="Calibri" w:hAnsi="Calibri" w:cs="Trebuchet MS"/>
          <w:sz w:val="24"/>
          <w:szCs w:val="24"/>
        </w:rPr>
        <w:t>di cui al precedente punto,</w:t>
      </w:r>
      <w:r>
        <w:rPr>
          <w:rFonts w:ascii="Calibri" w:hAnsi="Calibri" w:cs="Trebuchet MS"/>
          <w:color w:val="000000"/>
          <w:sz w:val="24"/>
          <w:szCs w:val="24"/>
        </w:rPr>
        <w:t xml:space="preserve"> della facoltà di annullare la fornitura, procederà, anche ai sensi dell’Indagine conoscitiva dell’Autorità Nazionale Anticorruzione avente ad oggetto le gare per la fornitura di farmaci all’esperimento di una nuova procedura acquisitiva, alla quale saranno invitati tutti gli operatori economici in possesso di AIC per l</w:t>
      </w:r>
      <w:r w:rsidR="00961488">
        <w:rPr>
          <w:rFonts w:ascii="Calibri" w:hAnsi="Calibri" w:cs="Trebuchet MS"/>
          <w:color w:val="000000"/>
          <w:sz w:val="24"/>
          <w:szCs w:val="24"/>
        </w:rPr>
        <w:t>o</w:t>
      </w:r>
      <w:r>
        <w:rPr>
          <w:rFonts w:ascii="Calibri" w:hAnsi="Calibri" w:cs="Trebuchet MS"/>
          <w:color w:val="000000"/>
          <w:sz w:val="24"/>
          <w:szCs w:val="24"/>
        </w:rPr>
        <w:t xml:space="preserve"> specific</w:t>
      </w:r>
      <w:r w:rsidR="00961488">
        <w:rPr>
          <w:rFonts w:ascii="Calibri" w:hAnsi="Calibri" w:cs="Trebuchet MS"/>
          <w:color w:val="000000"/>
          <w:sz w:val="24"/>
          <w:szCs w:val="24"/>
        </w:rPr>
        <w:t>o</w:t>
      </w:r>
      <w:r>
        <w:rPr>
          <w:rFonts w:ascii="Calibri" w:hAnsi="Calibri" w:cs="Trebuchet MS"/>
          <w:color w:val="000000"/>
          <w:sz w:val="24"/>
          <w:szCs w:val="24"/>
        </w:rPr>
        <w:t xml:space="preserve"> </w:t>
      </w:r>
      <w:r w:rsidR="00961488">
        <w:rPr>
          <w:rFonts w:ascii="Calibri" w:hAnsi="Calibri" w:cs="Trebuchet MS"/>
          <w:color w:val="000000"/>
          <w:sz w:val="24"/>
          <w:szCs w:val="24"/>
        </w:rPr>
        <w:t>vaccino.</w:t>
      </w:r>
    </w:p>
    <w:p w14:paraId="028E7D0E" w14:textId="77777777" w:rsidR="00CF1928" w:rsidRDefault="004D199D">
      <w:pPr>
        <w:pStyle w:val="Standard"/>
        <w:spacing w:line="360" w:lineRule="auto"/>
        <w:jc w:val="both"/>
      </w:pPr>
      <w:r>
        <w:rPr>
          <w:rFonts w:ascii="Calibri" w:hAnsi="Calibri" w:cs="Trebuchet MS"/>
          <w:sz w:val="24"/>
          <w:szCs w:val="24"/>
        </w:rPr>
        <w:t>Nei casi di recesso di cui sopra, il Fornitore ha diritto al pagamento da parte della Stazione Appaltante contraente dei servizi prestati, purché eseguiti correttamente ed a regola d’arte, secondo il corrispettivo e alle condizioni contrattualmente previste, rinunciando espressamente, ora per allora, a qualsiasi ulteriore eventuale pretesa, anche di natura risarcitoria, ed a ogni ulteriore compenso e/o indennizzo e/o rimborso, anche in deroga a quanto previsto dall’articolo 1671 c.c.</w:t>
      </w:r>
    </w:p>
    <w:p w14:paraId="2F603530" w14:textId="3655983D" w:rsidR="00CF1928" w:rsidRDefault="004D199D">
      <w:pPr>
        <w:pStyle w:val="Standard"/>
        <w:spacing w:line="360" w:lineRule="auto"/>
        <w:jc w:val="both"/>
      </w:pPr>
      <w:r>
        <w:rPr>
          <w:rFonts w:ascii="Calibri" w:hAnsi="Calibri" w:cs="Trebuchet MS"/>
          <w:sz w:val="24"/>
          <w:szCs w:val="24"/>
        </w:rPr>
        <w:t xml:space="preserve">La Stazione Appaltante potrà, altresì, recedere - per qualsiasi motivo - dal Contratto, in tutto o in parte, avvalendosi della facoltà consentita dall’articolo 1671 c.c. con un preavviso di almeno 30 </w:t>
      </w:r>
      <w:r>
        <w:rPr>
          <w:rFonts w:ascii="Calibri" w:hAnsi="Calibri" w:cs="Trebuchet MS"/>
          <w:sz w:val="24"/>
          <w:szCs w:val="24"/>
        </w:rPr>
        <w:lastRenderedPageBreak/>
        <w:t xml:space="preserve">(trenta) giorni solari, da comunicarsi al Fornitore </w:t>
      </w:r>
      <w:r w:rsidR="00904AFE">
        <w:rPr>
          <w:rFonts w:ascii="Calibri" w:hAnsi="Calibri" w:cs="Trebuchet MS"/>
          <w:sz w:val="24"/>
          <w:szCs w:val="24"/>
        </w:rPr>
        <w:t>a mezzo PEC</w:t>
      </w:r>
      <w:r>
        <w:rPr>
          <w:rFonts w:ascii="Calibri" w:hAnsi="Calibri" w:cs="Trebuchet MS"/>
          <w:sz w:val="24"/>
          <w:szCs w:val="24"/>
        </w:rPr>
        <w:t>, purché tenga indenne lo stesso Fornitore delle spese sostenute, delle prestazioni rese e del mancato guadagno.</w:t>
      </w:r>
    </w:p>
    <w:p w14:paraId="18E547A3" w14:textId="77777777" w:rsidR="00CF1928" w:rsidRDefault="004D199D">
      <w:pPr>
        <w:pStyle w:val="Standard"/>
        <w:spacing w:line="360" w:lineRule="auto"/>
        <w:jc w:val="both"/>
      </w:pPr>
      <w:r>
        <w:rPr>
          <w:rFonts w:ascii="Calibri" w:hAnsi="Calibri" w:cs="Trebuchet MS"/>
          <w:sz w:val="24"/>
          <w:szCs w:val="24"/>
        </w:rPr>
        <w:t>La Stazione Appaltante, in caso di inadempimento del Fornitore agli obblighi contrattuali, potrà assegnare, mediante comunicazione scritta, un termine non inferiore a 15 giorni dalla data di ricevimento della comunicazione per adempiere. Trascorso inutilmente il predetto termine, il contratto è risolto di diritto (art. 1454 c.c.) per la quota di fornitura relativa alla Stazione Appaltante che ha richiesto l’adempimento.</w:t>
      </w:r>
    </w:p>
    <w:p w14:paraId="2EF9F07D" w14:textId="14B0536B" w:rsidR="00CF1928" w:rsidRDefault="004D199D">
      <w:pPr>
        <w:pStyle w:val="Standard"/>
        <w:spacing w:line="360" w:lineRule="auto"/>
        <w:jc w:val="both"/>
      </w:pPr>
      <w:r>
        <w:rPr>
          <w:rFonts w:ascii="Calibri" w:hAnsi="Calibri" w:cs="Trebuchet MS"/>
          <w:sz w:val="24"/>
          <w:szCs w:val="24"/>
        </w:rPr>
        <w:t>La Stazione Appaltante, potrà, avvalendosi della facoltà di cui all’art. 1456 c.c. e previa comunicazione scritta al Fornitore da effettuarsi a</w:t>
      </w:r>
      <w:r w:rsidR="00904AFE">
        <w:rPr>
          <w:rFonts w:ascii="Calibri" w:hAnsi="Calibri" w:cs="Trebuchet MS"/>
          <w:sz w:val="24"/>
          <w:szCs w:val="24"/>
        </w:rPr>
        <w:t xml:space="preserve"> mezzo PEC</w:t>
      </w:r>
      <w:r>
        <w:rPr>
          <w:rFonts w:ascii="Calibri" w:hAnsi="Calibri" w:cs="Trebuchet MS"/>
          <w:sz w:val="24"/>
          <w:szCs w:val="24"/>
        </w:rPr>
        <w:t>, risolvere di diritto il contratto, in tutto o in parte nei seguenti casi:</w:t>
      </w:r>
    </w:p>
    <w:p w14:paraId="458BAEB2" w14:textId="77777777" w:rsidR="00CF1928" w:rsidRDefault="004D199D">
      <w:pPr>
        <w:pStyle w:val="Standard"/>
        <w:numPr>
          <w:ilvl w:val="0"/>
          <w:numId w:val="11"/>
        </w:numPr>
        <w:spacing w:line="360" w:lineRule="auto"/>
        <w:jc w:val="both"/>
      </w:pPr>
      <w:r>
        <w:rPr>
          <w:rFonts w:ascii="Calibri" w:hAnsi="Calibri" w:cs="Trebuchet MS"/>
          <w:sz w:val="24"/>
          <w:szCs w:val="24"/>
        </w:rPr>
        <w:t>nel caso di non veridicità delle dichiarazioni presentate dal Fornitore nel corso della procedura di gara ovvero in caso di perdita di alcuno dei requisiti previsti dalla documentazione di gara;</w:t>
      </w:r>
    </w:p>
    <w:p w14:paraId="1AB9C0DA" w14:textId="77777777" w:rsidR="00CF1928" w:rsidRDefault="004D199D">
      <w:pPr>
        <w:pStyle w:val="Standard"/>
        <w:numPr>
          <w:ilvl w:val="0"/>
          <w:numId w:val="12"/>
        </w:numPr>
        <w:spacing w:line="360" w:lineRule="auto"/>
        <w:jc w:val="both"/>
      </w:pPr>
      <w:r>
        <w:rPr>
          <w:rFonts w:ascii="Calibri" w:hAnsi="Calibri" w:cs="Trebuchet MS"/>
          <w:sz w:val="24"/>
          <w:szCs w:val="24"/>
        </w:rPr>
        <w:t>in caso di frode, di grave negligenza, di contravvenzione nell’esecuzione degli obblighi e delle condizioni contrattuali e di mancata reintegrazione del deposito cauzionale;</w:t>
      </w:r>
    </w:p>
    <w:p w14:paraId="63282B08" w14:textId="77777777" w:rsidR="00CF1928" w:rsidRDefault="004D199D">
      <w:pPr>
        <w:pStyle w:val="Standard"/>
        <w:numPr>
          <w:ilvl w:val="0"/>
          <w:numId w:val="7"/>
        </w:numPr>
        <w:spacing w:line="360" w:lineRule="auto"/>
        <w:jc w:val="both"/>
      </w:pPr>
      <w:r>
        <w:rPr>
          <w:rFonts w:ascii="Calibri" w:hAnsi="Calibri" w:cs="Trebuchet MS"/>
          <w:sz w:val="24"/>
          <w:szCs w:val="24"/>
        </w:rPr>
        <w:t>nel caso di reiterati ritardi rispetto ai termini previsti dal Contratto;</w:t>
      </w:r>
    </w:p>
    <w:p w14:paraId="1707C8D2" w14:textId="77777777" w:rsidR="00CF1928" w:rsidRDefault="004D199D">
      <w:pPr>
        <w:pStyle w:val="Standard"/>
        <w:numPr>
          <w:ilvl w:val="0"/>
          <w:numId w:val="7"/>
        </w:numPr>
        <w:spacing w:line="360" w:lineRule="auto"/>
        <w:jc w:val="both"/>
      </w:pPr>
      <w:r>
        <w:rPr>
          <w:rFonts w:ascii="Calibri" w:hAnsi="Calibri" w:cs="Trebuchet MS"/>
          <w:sz w:val="24"/>
          <w:szCs w:val="24"/>
        </w:rPr>
        <w:t>in caso di cessione del Contratto o subappalto non autorizzati;</w:t>
      </w:r>
    </w:p>
    <w:p w14:paraId="20AFDDE2" w14:textId="77777777" w:rsidR="00CF1928" w:rsidRDefault="004D199D">
      <w:pPr>
        <w:pStyle w:val="Standard"/>
        <w:numPr>
          <w:ilvl w:val="0"/>
          <w:numId w:val="7"/>
        </w:numPr>
        <w:spacing w:line="360" w:lineRule="auto"/>
        <w:jc w:val="both"/>
      </w:pPr>
      <w:r>
        <w:rPr>
          <w:rFonts w:ascii="Calibri" w:hAnsi="Calibri" w:cs="Trebuchet MS"/>
          <w:sz w:val="24"/>
          <w:szCs w:val="24"/>
        </w:rPr>
        <w:t>nel caso di mancato rispetto degli obblighi in tema di tracciabilità di cui al successivo paragrafo “Tracciabilità dei flussi finanziari”.</w:t>
      </w:r>
    </w:p>
    <w:p w14:paraId="15DFE66B" w14:textId="77777777" w:rsidR="00CF1928" w:rsidRDefault="004D199D">
      <w:pPr>
        <w:pStyle w:val="Standard"/>
        <w:spacing w:line="360" w:lineRule="auto"/>
        <w:jc w:val="both"/>
      </w:pPr>
      <w:r>
        <w:rPr>
          <w:rFonts w:ascii="Calibri" w:hAnsi="Calibri" w:cs="Trebuchet MS"/>
          <w:sz w:val="24"/>
          <w:szCs w:val="24"/>
        </w:rPr>
        <w:t>La risoluzione del Contratto non si estende alle prestazioni già eseguite.</w:t>
      </w:r>
    </w:p>
    <w:p w14:paraId="49975D01" w14:textId="77777777" w:rsidR="00CF1928" w:rsidRDefault="004D199D">
      <w:pPr>
        <w:pStyle w:val="Standard"/>
        <w:spacing w:line="360" w:lineRule="auto"/>
        <w:jc w:val="both"/>
      </w:pPr>
      <w:r>
        <w:rPr>
          <w:rFonts w:ascii="Calibri" w:hAnsi="Calibri" w:cs="Trebuchet MS"/>
          <w:bCs/>
          <w:iCs/>
          <w:sz w:val="24"/>
          <w:szCs w:val="24"/>
        </w:rPr>
        <w:t>La Stazione Appaltante</w:t>
      </w:r>
      <w:r>
        <w:rPr>
          <w:rFonts w:ascii="Calibri" w:hAnsi="Calibri" w:cs="Trebuchet MS"/>
          <w:sz w:val="24"/>
          <w:szCs w:val="24"/>
        </w:rPr>
        <w:t>, fermo restando quanto previsto nel presente paragrafo e nei casi di cui all’art. 110 del D. Lgs. n. 50/2016, potrà interpellare progressivamente gli operatori economici che hanno partecipato all’originaria procedura e sono stati inseriti nella relativa graduatoria, al fine di stipulare un nuovo contratto per l’affidamento del completamento delle prestazioni contrattuali alle medesime condizioni già proposte dall’aggiudicatario in sede di offerta. Per quanto non previsto dal presente paragrafo, si applicano le disposizioni di cui al codice civile in materia di risoluzione e recesso del contratto.</w:t>
      </w:r>
    </w:p>
    <w:p w14:paraId="4ED7C9CD" w14:textId="77777777" w:rsidR="00CF1928" w:rsidRDefault="00CF1928">
      <w:pPr>
        <w:pStyle w:val="Standard"/>
        <w:spacing w:line="360" w:lineRule="auto"/>
        <w:jc w:val="both"/>
        <w:rPr>
          <w:rFonts w:ascii="Calibri" w:hAnsi="Calibri" w:cs="Trebuchet MS"/>
          <w:sz w:val="24"/>
          <w:szCs w:val="24"/>
        </w:rPr>
      </w:pPr>
    </w:p>
    <w:p w14:paraId="4765A087" w14:textId="77777777" w:rsidR="00CF1928" w:rsidRDefault="004D199D">
      <w:pPr>
        <w:pStyle w:val="Standard"/>
        <w:spacing w:line="360" w:lineRule="auto"/>
      </w:pPr>
      <w:r>
        <w:rPr>
          <w:rFonts w:ascii="Calibri" w:hAnsi="Calibri" w:cs="Trebuchet MS"/>
          <w:b/>
          <w:bCs/>
          <w:sz w:val="24"/>
          <w:szCs w:val="24"/>
        </w:rPr>
        <w:t>11 - Domicilio del Fornitore e comunicazioni</w:t>
      </w:r>
    </w:p>
    <w:p w14:paraId="20CC39D4" w14:textId="10DFE25F" w:rsidR="00CF1928" w:rsidRDefault="004D199D">
      <w:pPr>
        <w:pStyle w:val="Standard"/>
        <w:spacing w:line="360" w:lineRule="auto"/>
        <w:jc w:val="both"/>
      </w:pPr>
      <w:r>
        <w:rPr>
          <w:rFonts w:ascii="Calibri" w:hAnsi="Calibri" w:cs="Trebuchet MS"/>
          <w:sz w:val="24"/>
          <w:szCs w:val="24"/>
        </w:rPr>
        <w:t xml:space="preserve">Il Fornitore, all'atto della stipulazione del Contratto, deve eleggere il proprio domicilio legale, al quale verranno dirette tutte le notificazioni inerenti </w:t>
      </w:r>
      <w:r w:rsidR="00904AFE">
        <w:rPr>
          <w:rFonts w:ascii="Calibri" w:hAnsi="Calibri" w:cs="Trebuchet MS"/>
          <w:sz w:val="24"/>
          <w:szCs w:val="24"/>
        </w:rPr>
        <w:t>a</w:t>
      </w:r>
      <w:r>
        <w:rPr>
          <w:rFonts w:ascii="Calibri" w:hAnsi="Calibri" w:cs="Trebuchet MS"/>
          <w:sz w:val="24"/>
          <w:szCs w:val="24"/>
        </w:rPr>
        <w:t>l Contratto medesimo.</w:t>
      </w:r>
    </w:p>
    <w:p w14:paraId="55D34B3D" w14:textId="77777777" w:rsidR="00CF1928" w:rsidRDefault="004D199D">
      <w:pPr>
        <w:pStyle w:val="Standard"/>
        <w:spacing w:line="360" w:lineRule="auto"/>
        <w:jc w:val="both"/>
      </w:pPr>
      <w:r>
        <w:rPr>
          <w:rFonts w:ascii="Calibri" w:hAnsi="Calibri" w:cs="Trebuchet MS"/>
          <w:sz w:val="24"/>
          <w:szCs w:val="24"/>
        </w:rPr>
        <w:t>Le comunicazioni tra le parti sono effettuate mediante una delle seguenti modalità:</w:t>
      </w:r>
    </w:p>
    <w:p w14:paraId="25FA391B" w14:textId="614FDE7E" w:rsidR="00CF1928" w:rsidRDefault="004D199D">
      <w:pPr>
        <w:pStyle w:val="Standard"/>
        <w:spacing w:line="360" w:lineRule="auto"/>
        <w:jc w:val="both"/>
      </w:pPr>
      <w:r>
        <w:rPr>
          <w:rFonts w:ascii="Calibri" w:hAnsi="Calibri" w:cs="Trebuchet MS"/>
          <w:sz w:val="24"/>
          <w:szCs w:val="24"/>
        </w:rPr>
        <w:lastRenderedPageBreak/>
        <w:t>a)</w:t>
      </w:r>
      <w:r w:rsidR="00961488">
        <w:rPr>
          <w:rFonts w:ascii="Calibri" w:hAnsi="Calibri" w:cs="Trebuchet MS"/>
          <w:sz w:val="24"/>
          <w:szCs w:val="24"/>
        </w:rPr>
        <w:t xml:space="preserve"> indirizzo casella di posta elettronica ordinaria</w:t>
      </w:r>
      <w:r>
        <w:rPr>
          <w:rFonts w:ascii="Calibri" w:hAnsi="Calibri" w:cs="Trebuchet MS"/>
          <w:sz w:val="24"/>
          <w:szCs w:val="24"/>
        </w:rPr>
        <w:t>;</w:t>
      </w:r>
    </w:p>
    <w:p w14:paraId="0B6D8166" w14:textId="77777777" w:rsidR="00CF1928" w:rsidRDefault="004D199D">
      <w:pPr>
        <w:pStyle w:val="Standard"/>
        <w:spacing w:line="360" w:lineRule="auto"/>
        <w:jc w:val="both"/>
      </w:pPr>
      <w:r>
        <w:rPr>
          <w:rFonts w:ascii="Calibri" w:hAnsi="Calibri" w:cs="Trebuchet MS"/>
          <w:sz w:val="24"/>
          <w:szCs w:val="24"/>
        </w:rPr>
        <w:t>b) posta elettronica certificata;</w:t>
      </w:r>
    </w:p>
    <w:p w14:paraId="2F38220F" w14:textId="77777777" w:rsidR="00CF1928" w:rsidRDefault="00CF1928">
      <w:pPr>
        <w:pStyle w:val="Standard"/>
        <w:spacing w:line="360" w:lineRule="auto"/>
        <w:rPr>
          <w:rFonts w:ascii="Calibri" w:hAnsi="Calibri" w:cs="Trebuchet MS"/>
          <w:sz w:val="24"/>
          <w:szCs w:val="24"/>
        </w:rPr>
      </w:pPr>
    </w:p>
    <w:p w14:paraId="177F5C84" w14:textId="77777777" w:rsidR="00CF1928" w:rsidRDefault="004D199D">
      <w:pPr>
        <w:pStyle w:val="Standard"/>
        <w:spacing w:line="360" w:lineRule="auto"/>
      </w:pPr>
      <w:r>
        <w:rPr>
          <w:rFonts w:ascii="Calibri" w:hAnsi="Calibri" w:cs="Trebuchet MS"/>
          <w:b/>
          <w:bCs/>
          <w:sz w:val="24"/>
          <w:szCs w:val="24"/>
        </w:rPr>
        <w:t>12 - Tracciabilità dei flussi finanziari</w:t>
      </w:r>
    </w:p>
    <w:p w14:paraId="0C0CEDE0" w14:textId="7C87124C" w:rsidR="00CF1928" w:rsidRDefault="004D199D">
      <w:pPr>
        <w:pStyle w:val="Standard"/>
        <w:spacing w:line="360" w:lineRule="auto"/>
        <w:jc w:val="both"/>
      </w:pPr>
      <w:r>
        <w:rPr>
          <w:rFonts w:ascii="Calibri" w:hAnsi="Calibri" w:cs="Trebuchet MS"/>
          <w:sz w:val="24"/>
          <w:szCs w:val="24"/>
        </w:rPr>
        <w:t>Ai sensi e per gli effetti dell’art. 3, comma 8, della Legge 13 agosto 2010 n. 136 e s.m.i., il Fornitore si impegna a rispettare puntualmente quanto previsto dalla predetta disposizione in ordine agli obblighi di tracciabilità dei flussi finanziari.</w:t>
      </w:r>
      <w:r w:rsidR="00961488">
        <w:rPr>
          <w:rFonts w:ascii="Calibri" w:hAnsi="Calibri" w:cs="Trebuchet MS"/>
          <w:sz w:val="24"/>
          <w:szCs w:val="24"/>
        </w:rPr>
        <w:t xml:space="preserve"> </w:t>
      </w:r>
    </w:p>
    <w:p w14:paraId="670E6D82" w14:textId="77777777" w:rsidR="00CF1928" w:rsidRDefault="004D199D">
      <w:pPr>
        <w:pStyle w:val="Standard"/>
        <w:spacing w:line="360" w:lineRule="auto"/>
        <w:jc w:val="both"/>
      </w:pPr>
      <w:r>
        <w:rPr>
          <w:rFonts w:ascii="Calibri" w:hAnsi="Calibri" w:cs="Trebuchet MS"/>
          <w:sz w:val="24"/>
          <w:szCs w:val="24"/>
        </w:rPr>
        <w:t xml:space="preserve">Ferme restando le ulteriori ipotesi di risoluzione previste nel presente Capitolato ed eventualmente nel Contratto, si conviene che, in ogni caso, la Stazione Appaltante, in ottemperanza a quanto disposto dall’art. 3, comma 9 bis, della Legge 13 agosto 2010 n. 136 e s.m.i., senza bisogno di assegnare previamente alcun termine per l’adempimento, risolverà di diritto, ai sensi dell’art. 1456 c. c., nonché ai sensi dell’art. 1360 c. c., previa dichiarazione da comunicarsi al Fornitore con raccomandata a.r., il Contratto nell’ipotesi in cui le transazioni siano eseguite senza avvalersi del  bonifico bancario o postale ovvero degli altri documenti idonei a consentire la piena tracciabilità delle operazioni ai sensi della Legge 13 agosto 2010 n. 136 e s.m.i. e del Decreto Legge 12 novembre 2010 n. 187.  </w:t>
      </w:r>
    </w:p>
    <w:p w14:paraId="2F8C0AD7" w14:textId="77777777" w:rsidR="00CF1928" w:rsidRDefault="004D199D">
      <w:pPr>
        <w:pStyle w:val="Standard"/>
        <w:spacing w:line="360" w:lineRule="auto"/>
        <w:jc w:val="both"/>
      </w:pPr>
      <w:r>
        <w:rPr>
          <w:rFonts w:ascii="Calibri" w:hAnsi="Calibri" w:cs="Trebuchet MS"/>
          <w:sz w:val="24"/>
          <w:szCs w:val="24"/>
        </w:rPr>
        <w:t>Il Fornitore, nella sua qualità di appaltatore, si obbliga, a mente dell’art. 3, comma 8, della Legge 13 agosto 2010 n. 136 e s.m.i., ad inserire nei contratti sottoscritti con i subappaltatori o i subcontraenti, a pena di nullità assoluta, una apposita clausola con la quale ciascuno di essi assume gli obblighi di tracciabilità dei flussi finanziari di cui alla Legge 13 agosto 2010 n. 136 e s.m.i.. A tal fine, la Stazione Appaltante verificherà il corretto adempimento del suddetto obbligo.</w:t>
      </w:r>
    </w:p>
    <w:p w14:paraId="2A88A230" w14:textId="77777777" w:rsidR="00CF1928" w:rsidRDefault="004D199D">
      <w:pPr>
        <w:pStyle w:val="Standard"/>
        <w:spacing w:line="360" w:lineRule="auto"/>
        <w:jc w:val="both"/>
      </w:pPr>
      <w:r>
        <w:rPr>
          <w:rFonts w:ascii="Calibri" w:hAnsi="Calibri" w:cs="Trebuchet MS"/>
          <w:sz w:val="24"/>
          <w:szCs w:val="24"/>
        </w:rPr>
        <w:t xml:space="preserve">Il Fornitore, il subappaltatore o il subcontraente che ha notizia dell’inadempimento della propria controparte rispetto agli obblighi di tracciabilità finanziaria di cui all’art. 3 della Legge 13 agosto 2010 n. 136 e s.m.i è tenuto a darne immediata comunicazione alla Stazione Appaltante e alla Prefettura – Ufficio Territoriale del Governo della Provincia ove ha sede la stessa </w:t>
      </w:r>
      <w:r>
        <w:rPr>
          <w:rFonts w:ascii="Calibri" w:hAnsi="Calibri" w:cs="Trebuchet MS"/>
          <w:bCs/>
          <w:iCs/>
          <w:sz w:val="24"/>
          <w:szCs w:val="24"/>
        </w:rPr>
        <w:t>Stazione Appaltante</w:t>
      </w:r>
      <w:r>
        <w:rPr>
          <w:rFonts w:ascii="Calibri" w:hAnsi="Calibri" w:cs="Trebuchet MS"/>
          <w:sz w:val="24"/>
          <w:szCs w:val="24"/>
        </w:rPr>
        <w:t>.</w:t>
      </w:r>
    </w:p>
    <w:p w14:paraId="56C2DB3C" w14:textId="77777777" w:rsidR="00CF1928" w:rsidRDefault="004D199D">
      <w:pPr>
        <w:pStyle w:val="Standard"/>
        <w:spacing w:line="360" w:lineRule="auto"/>
        <w:jc w:val="both"/>
      </w:pPr>
      <w:r>
        <w:rPr>
          <w:rFonts w:ascii="Calibri" w:hAnsi="Calibri" w:cs="Trebuchet MS"/>
          <w:sz w:val="24"/>
          <w:szCs w:val="24"/>
        </w:rPr>
        <w:t>Il Fornitore si obbliga e garantisce che nei contratti sottoscritti con i subappaltatori e i subcontraenti venga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0C6177CC" w14:textId="77777777" w:rsidR="00CF1928" w:rsidRDefault="004D199D">
      <w:pPr>
        <w:pStyle w:val="Standard"/>
        <w:spacing w:line="360" w:lineRule="auto"/>
        <w:jc w:val="both"/>
      </w:pPr>
      <w:r>
        <w:rPr>
          <w:rFonts w:ascii="Calibri" w:hAnsi="Calibri" w:cs="Trebuchet MS"/>
          <w:sz w:val="24"/>
          <w:szCs w:val="24"/>
        </w:rPr>
        <w:t xml:space="preserve">Il Fornitore, in caso di cessione dei crediti, si impegna a comunicare il CIG al cessionario affinché lo stesso venga riportato sugli strumenti di pagamento utilizzati. Il cessionario è tenuto ad utilizzare il conto/i corrente/i dedicato/i nonché ad anticipare i pagamenti al Fornitore mediante bonifico </w:t>
      </w:r>
      <w:r>
        <w:rPr>
          <w:rFonts w:ascii="Calibri" w:hAnsi="Calibri" w:cs="Trebuchet MS"/>
          <w:sz w:val="24"/>
          <w:szCs w:val="24"/>
        </w:rPr>
        <w:lastRenderedPageBreak/>
        <w:t>bancario o postale sul/i conto/i corrente/i dedicato/i del Fornitore medesimo riportando il CIG dallo stesso comunicato.</w:t>
      </w:r>
    </w:p>
    <w:p w14:paraId="123D8F46" w14:textId="77777777" w:rsidR="00CF1928" w:rsidRDefault="00CF1928">
      <w:pPr>
        <w:pStyle w:val="Standard"/>
        <w:spacing w:line="360" w:lineRule="auto"/>
        <w:rPr>
          <w:rFonts w:ascii="Calibri" w:hAnsi="Calibri" w:cs="Trebuchet MS"/>
          <w:sz w:val="24"/>
          <w:szCs w:val="24"/>
        </w:rPr>
      </w:pPr>
    </w:p>
    <w:p w14:paraId="5EAE32D1" w14:textId="77777777" w:rsidR="00CF1928" w:rsidRDefault="004D199D">
      <w:pPr>
        <w:pStyle w:val="Standard"/>
        <w:spacing w:line="360" w:lineRule="auto"/>
      </w:pPr>
      <w:r>
        <w:rPr>
          <w:rFonts w:ascii="Calibri" w:hAnsi="Calibri" w:cs="Trebuchet MS"/>
          <w:b/>
          <w:bCs/>
          <w:sz w:val="24"/>
          <w:szCs w:val="24"/>
        </w:rPr>
        <w:t>13 – Foro competente</w:t>
      </w:r>
    </w:p>
    <w:p w14:paraId="5BE05337" w14:textId="77777777" w:rsidR="00CF1928" w:rsidRDefault="004D199D">
      <w:pPr>
        <w:pStyle w:val="Standard"/>
        <w:spacing w:line="360" w:lineRule="auto"/>
        <w:jc w:val="both"/>
      </w:pPr>
      <w:r>
        <w:rPr>
          <w:rFonts w:ascii="Calibri" w:hAnsi="Calibri" w:cs="Trebuchet MS"/>
          <w:sz w:val="24"/>
          <w:szCs w:val="24"/>
        </w:rPr>
        <w:t xml:space="preserve">Per tutte le controversie relative a rapporti tra il Fornitore e la </w:t>
      </w:r>
      <w:r>
        <w:rPr>
          <w:rFonts w:ascii="Calibri" w:hAnsi="Calibri" w:cs="Trebuchet MS"/>
          <w:bCs/>
          <w:iCs/>
          <w:sz w:val="24"/>
          <w:szCs w:val="24"/>
        </w:rPr>
        <w:t>Stazione Appaltante</w:t>
      </w:r>
      <w:r>
        <w:rPr>
          <w:rFonts w:ascii="Calibri" w:hAnsi="Calibri" w:cs="Trebuchet MS"/>
          <w:sz w:val="24"/>
          <w:szCs w:val="24"/>
        </w:rPr>
        <w:t xml:space="preserve"> sarà competente esclusivamente il Foro di Palermo.</w:t>
      </w:r>
    </w:p>
    <w:p w14:paraId="47E55646" w14:textId="77777777" w:rsidR="00CF1928" w:rsidRDefault="00CF1928">
      <w:pPr>
        <w:pStyle w:val="Standard"/>
        <w:spacing w:line="360" w:lineRule="auto"/>
        <w:rPr>
          <w:rFonts w:ascii="Calibri" w:hAnsi="Calibri" w:cs="Trebuchet MS"/>
          <w:i/>
          <w:iCs/>
          <w:sz w:val="24"/>
          <w:szCs w:val="24"/>
        </w:rPr>
      </w:pPr>
    </w:p>
    <w:p w14:paraId="442B877B" w14:textId="77777777" w:rsidR="00CF1928" w:rsidRDefault="00CF1928">
      <w:pPr>
        <w:pStyle w:val="Standard"/>
        <w:spacing w:line="360" w:lineRule="auto"/>
        <w:rPr>
          <w:rFonts w:ascii="Calibri" w:hAnsi="Calibri" w:cs="Trebuchet MS"/>
          <w:i/>
          <w:iCs/>
          <w:sz w:val="24"/>
          <w:szCs w:val="24"/>
        </w:rPr>
      </w:pPr>
    </w:p>
    <w:p w14:paraId="54F96189" w14:textId="77777777" w:rsidR="00CF1928" w:rsidRDefault="004D199D">
      <w:pPr>
        <w:pStyle w:val="Standard"/>
        <w:spacing w:line="360" w:lineRule="auto"/>
      </w:pPr>
      <w:r>
        <w:rPr>
          <w:rFonts w:ascii="Calibri" w:hAnsi="Calibri" w:cs="Trebuchet MS"/>
          <w:b/>
          <w:bCs/>
          <w:sz w:val="24"/>
          <w:szCs w:val="24"/>
        </w:rPr>
        <w:t>14 Allegati</w:t>
      </w:r>
    </w:p>
    <w:p w14:paraId="7E1F952A" w14:textId="77777777" w:rsidR="00CF1928" w:rsidRDefault="004D199D">
      <w:pPr>
        <w:pStyle w:val="Standard"/>
        <w:spacing w:line="360" w:lineRule="auto"/>
      </w:pPr>
      <w:r>
        <w:rPr>
          <w:rFonts w:ascii="Calibri" w:hAnsi="Calibri" w:cs="Trebuchet MS"/>
          <w:i/>
          <w:iCs/>
          <w:sz w:val="24"/>
          <w:szCs w:val="24"/>
        </w:rPr>
        <w:t>All. 1 Tabella elenco lotti</w:t>
      </w:r>
    </w:p>
    <w:p w14:paraId="1CAA68A4" w14:textId="77777777" w:rsidR="00CF1928" w:rsidRDefault="00CF1928">
      <w:pPr>
        <w:pStyle w:val="Standard"/>
        <w:spacing w:line="360" w:lineRule="auto"/>
        <w:rPr>
          <w:rFonts w:ascii="Calibri" w:hAnsi="Calibri" w:cs="Trebuchet MS"/>
          <w:i/>
          <w:iCs/>
          <w:sz w:val="24"/>
          <w:szCs w:val="24"/>
        </w:rPr>
      </w:pPr>
    </w:p>
    <w:p w14:paraId="507D2322" w14:textId="77777777" w:rsidR="00CF1928" w:rsidRDefault="00CF1928">
      <w:pPr>
        <w:pStyle w:val="Standard"/>
      </w:pPr>
    </w:p>
    <w:sectPr w:rsidR="00CF1928">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B77D" w14:textId="77777777" w:rsidR="00044749" w:rsidRDefault="00044749">
      <w:pPr>
        <w:spacing w:after="0" w:line="240" w:lineRule="auto"/>
      </w:pPr>
      <w:r>
        <w:separator/>
      </w:r>
    </w:p>
  </w:endnote>
  <w:endnote w:type="continuationSeparator" w:id="0">
    <w:p w14:paraId="4446677B" w14:textId="77777777" w:rsidR="00044749" w:rsidRDefault="0004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AE05" w14:textId="77777777" w:rsidR="004229D8" w:rsidRDefault="004229D8">
    <w:pPr>
      <w:pStyle w:val="Pidipagina"/>
    </w:pPr>
  </w:p>
  <w:p w14:paraId="4AA2E5E9" w14:textId="77777777" w:rsidR="004229D8" w:rsidRDefault="004229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B1A0" w14:textId="77777777" w:rsidR="00044749" w:rsidRDefault="00044749">
      <w:pPr>
        <w:spacing w:after="0" w:line="240" w:lineRule="auto"/>
      </w:pPr>
      <w:r>
        <w:rPr>
          <w:color w:val="000000"/>
        </w:rPr>
        <w:separator/>
      </w:r>
    </w:p>
  </w:footnote>
  <w:footnote w:type="continuationSeparator" w:id="0">
    <w:p w14:paraId="370B9887" w14:textId="77777777" w:rsidR="00044749" w:rsidRDefault="00044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0D9"/>
    <w:multiLevelType w:val="multilevel"/>
    <w:tmpl w:val="8598AE2C"/>
    <w:styleLink w:val="WWNum1"/>
    <w:lvl w:ilvl="0">
      <w:start w:val="2"/>
      <w:numFmt w:val="upperLetter"/>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AC5B4A"/>
    <w:multiLevelType w:val="multilevel"/>
    <w:tmpl w:val="C9E86708"/>
    <w:styleLink w:val="WWNum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A143932"/>
    <w:multiLevelType w:val="multilevel"/>
    <w:tmpl w:val="E1088E4A"/>
    <w:styleLink w:val="WW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EA43AD8"/>
    <w:multiLevelType w:val="multilevel"/>
    <w:tmpl w:val="7DCECBB6"/>
    <w:styleLink w:val="WWNum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80E5097"/>
    <w:multiLevelType w:val="multilevel"/>
    <w:tmpl w:val="EC786272"/>
    <w:styleLink w:val="WWNum7"/>
    <w:lvl w:ilvl="0">
      <w:numFmt w:val="bullet"/>
      <w:lvlText w:val=""/>
      <w:lvlJc w:val="left"/>
      <w:pPr>
        <w:ind w:left="720" w:hanging="363"/>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9FE77AF"/>
    <w:multiLevelType w:val="multilevel"/>
    <w:tmpl w:val="92C63D82"/>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52315D05"/>
    <w:multiLevelType w:val="multilevel"/>
    <w:tmpl w:val="BE123BB0"/>
    <w:styleLink w:val="WW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789D7690"/>
    <w:multiLevelType w:val="multilevel"/>
    <w:tmpl w:val="643E3C2E"/>
    <w:styleLink w:val="Outline"/>
    <w:lvl w:ilvl="0">
      <w:start w:val="2"/>
      <w:numFmt w:val="upperLetter"/>
      <w:lvlText w:val="%1)"/>
      <w:lvlJc w:val="left"/>
      <w:pPr>
        <w:ind w:left="705" w:hanging="705"/>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16cid:durableId="1054812232">
    <w:abstractNumId w:val="7"/>
  </w:num>
  <w:num w:numId="2" w16cid:durableId="323242472">
    <w:abstractNumId w:val="0"/>
  </w:num>
  <w:num w:numId="3" w16cid:durableId="1609921794">
    <w:abstractNumId w:val="5"/>
  </w:num>
  <w:num w:numId="4" w16cid:durableId="154029380">
    <w:abstractNumId w:val="1"/>
  </w:num>
  <w:num w:numId="5" w16cid:durableId="1532065378">
    <w:abstractNumId w:val="2"/>
  </w:num>
  <w:num w:numId="6" w16cid:durableId="1697996164">
    <w:abstractNumId w:val="3"/>
  </w:num>
  <w:num w:numId="7" w16cid:durableId="1547176880">
    <w:abstractNumId w:val="6"/>
  </w:num>
  <w:num w:numId="8" w16cid:durableId="1634211938">
    <w:abstractNumId w:val="4"/>
  </w:num>
  <w:num w:numId="9" w16cid:durableId="417602886">
    <w:abstractNumId w:val="3"/>
  </w:num>
  <w:num w:numId="10" w16cid:durableId="314383737">
    <w:abstractNumId w:val="5"/>
    <w:lvlOverride w:ilvl="0">
      <w:startOverride w:val="1"/>
    </w:lvlOverride>
  </w:num>
  <w:num w:numId="11" w16cid:durableId="1081220918">
    <w:abstractNumId w:val="4"/>
  </w:num>
  <w:num w:numId="12" w16cid:durableId="959725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28"/>
    <w:rsid w:val="00044639"/>
    <w:rsid w:val="00044749"/>
    <w:rsid w:val="0007225F"/>
    <w:rsid w:val="000B4ACF"/>
    <w:rsid w:val="000D5436"/>
    <w:rsid w:val="00127FE5"/>
    <w:rsid w:val="001C1976"/>
    <w:rsid w:val="002814F9"/>
    <w:rsid w:val="002E3131"/>
    <w:rsid w:val="00317950"/>
    <w:rsid w:val="0034480D"/>
    <w:rsid w:val="00383E16"/>
    <w:rsid w:val="003B534E"/>
    <w:rsid w:val="003B6E29"/>
    <w:rsid w:val="004229D8"/>
    <w:rsid w:val="0042713E"/>
    <w:rsid w:val="00435BA2"/>
    <w:rsid w:val="00445490"/>
    <w:rsid w:val="004D199D"/>
    <w:rsid w:val="005A4320"/>
    <w:rsid w:val="00694809"/>
    <w:rsid w:val="006A3002"/>
    <w:rsid w:val="007C7B16"/>
    <w:rsid w:val="007F4EF3"/>
    <w:rsid w:val="00904AFE"/>
    <w:rsid w:val="00930F89"/>
    <w:rsid w:val="00952165"/>
    <w:rsid w:val="00952AD0"/>
    <w:rsid w:val="00961488"/>
    <w:rsid w:val="00993604"/>
    <w:rsid w:val="009E03B1"/>
    <w:rsid w:val="00A307D4"/>
    <w:rsid w:val="00B916BD"/>
    <w:rsid w:val="00C25D22"/>
    <w:rsid w:val="00C84390"/>
    <w:rsid w:val="00CF1928"/>
    <w:rsid w:val="00D04B81"/>
    <w:rsid w:val="00D21CFC"/>
    <w:rsid w:val="00D26B9F"/>
    <w:rsid w:val="00E0744F"/>
    <w:rsid w:val="00E709CD"/>
    <w:rsid w:val="00E73CF2"/>
    <w:rsid w:val="00F54482"/>
    <w:rsid w:val="00FF2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4B72"/>
  <w15:docId w15:val="{1797B515-4699-48A5-A76C-906B0CB2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Textbody"/>
    <w:pPr>
      <w:keepNext/>
      <w:jc w:val="center"/>
      <w:outlineLvl w:val="0"/>
    </w:pPr>
    <w:rPr>
      <w:rFonts w:ascii="Cambria" w:hAnsi="Cambria"/>
      <w:b/>
      <w:bCs/>
      <w:sz w:val="32"/>
      <w:szCs w:val="32"/>
    </w:rPr>
  </w:style>
  <w:style w:type="paragraph" w:styleId="Titolo2">
    <w:name w:val="heading 2"/>
    <w:basedOn w:val="Standard"/>
    <w:next w:val="Textbody"/>
    <w:pPr>
      <w:keepNext/>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0"/>
      <w:szCs w:val="20"/>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idipagina">
    <w:name w:val="footer"/>
    <w:basedOn w:val="Standard"/>
    <w:pPr>
      <w:suppressLineNumbers/>
      <w:tabs>
        <w:tab w:val="center" w:pos="4819"/>
        <w:tab w:val="right" w:pos="9638"/>
      </w:tabs>
    </w:pPr>
  </w:style>
  <w:style w:type="paragraph" w:customStyle="1" w:styleId="usoboll1">
    <w:name w:val="usoboll1"/>
    <w:basedOn w:val="Standard"/>
    <w:pPr>
      <w:widowControl w:val="0"/>
      <w:spacing w:before="120" w:line="482" w:lineRule="atLeast"/>
      <w:jc w:val="both"/>
    </w:pPr>
    <w:rPr>
      <w:sz w:val="24"/>
      <w:szCs w:val="24"/>
    </w:rPr>
  </w:style>
  <w:style w:type="paragraph" w:customStyle="1" w:styleId="Normaleblu">
    <w:name w:val="Normale blu"/>
    <w:basedOn w:val="Standard"/>
    <w:pPr>
      <w:widowControl w:val="0"/>
      <w:tabs>
        <w:tab w:val="left" w:pos="0"/>
      </w:tabs>
      <w:spacing w:line="360" w:lineRule="auto"/>
      <w:jc w:val="both"/>
    </w:pPr>
    <w:rPr>
      <w:rFonts w:ascii="Trebuchet MS" w:hAnsi="Trebuchet MS"/>
    </w:rPr>
  </w:style>
  <w:style w:type="paragraph" w:styleId="Testofumetto">
    <w:name w:val="Balloon Text"/>
    <w:basedOn w:val="Standard"/>
    <w:rPr>
      <w:rFonts w:ascii="Tahoma" w:hAnsi="Tahoma" w:cs="Tahoma"/>
      <w:sz w:val="16"/>
      <w:szCs w:val="16"/>
    </w:rPr>
  </w:style>
  <w:style w:type="paragraph" w:styleId="Intestazione">
    <w:name w:val="header"/>
    <w:basedOn w:val="Standard"/>
    <w:pPr>
      <w:suppressLineNumbers/>
      <w:tabs>
        <w:tab w:val="center" w:pos="4819"/>
        <w:tab w:val="right" w:pos="9638"/>
      </w:tabs>
    </w:pPr>
  </w:style>
  <w:style w:type="paragraph" w:styleId="Testocommento">
    <w:name w:val="annotation text"/>
    <w:basedOn w:val="Standard"/>
  </w:style>
  <w:style w:type="paragraph" w:styleId="Soggettocommento">
    <w:name w:val="annotation subject"/>
    <w:basedOn w:val="Testocommento"/>
    <w:rPr>
      <w:b/>
      <w:bCs/>
    </w:rPr>
  </w:style>
  <w:style w:type="paragraph" w:styleId="Paragrafoelenco">
    <w:name w:val="List Paragraph"/>
    <w:basedOn w:val="Standard"/>
    <w:pPr>
      <w:ind w:left="720"/>
    </w:pPr>
  </w:style>
  <w:style w:type="paragraph" w:styleId="Corpodeltesto3">
    <w:name w:val="Body Text 3"/>
    <w:basedOn w:val="Standard"/>
    <w:pPr>
      <w:jc w:val="center"/>
    </w:pPr>
    <w:rPr>
      <w:rFonts w:eastAsia="MS Mincho"/>
      <w:sz w:val="16"/>
      <w:szCs w:val="16"/>
    </w:rPr>
  </w:style>
  <w:style w:type="character" w:customStyle="1" w:styleId="Titolo1Carattere">
    <w:name w:val="Titolo 1 Carattere"/>
    <w:basedOn w:val="Carpredefinitoparagrafo"/>
    <w:rPr>
      <w:rFonts w:ascii="Cambria" w:eastAsia="Times New Roman" w:hAnsi="Cambria" w:cs="Times New Roman"/>
      <w:b/>
      <w:bCs/>
      <w:kern w:val="3"/>
      <w:sz w:val="32"/>
      <w:szCs w:val="32"/>
    </w:rPr>
  </w:style>
  <w:style w:type="character" w:customStyle="1" w:styleId="Titolo2Carattere">
    <w:name w:val="Titolo 2 Carattere"/>
    <w:basedOn w:val="Carpredefinitoparagrafo"/>
    <w:rPr>
      <w:rFonts w:ascii="Times New Roman" w:eastAsia="Times New Roman" w:hAnsi="Times New Roman" w:cs="Times New Roman"/>
      <w:b/>
      <w:bCs/>
      <w:sz w:val="24"/>
      <w:szCs w:val="24"/>
    </w:rPr>
  </w:style>
  <w:style w:type="character" w:customStyle="1" w:styleId="PidipaginaCarattere">
    <w:name w:val="Piè di pagina Carattere"/>
    <w:basedOn w:val="Carpredefinitoparagrafo"/>
    <w:rPr>
      <w:rFonts w:ascii="Times New Roman" w:eastAsia="Times New Roman" w:hAnsi="Times New Roman" w:cs="Times New Roman"/>
      <w:sz w:val="20"/>
      <w:szCs w:val="20"/>
    </w:rPr>
  </w:style>
  <w:style w:type="character" w:customStyle="1" w:styleId="NormalebluCarattere">
    <w:name w:val="Normale blu Carattere"/>
    <w:rPr>
      <w:rFonts w:ascii="Trebuchet MS" w:eastAsia="Times New Roman" w:hAnsi="Trebuchet MS" w:cs="Times New Roman"/>
      <w:sz w:val="20"/>
      <w:szCs w:val="20"/>
    </w:rPr>
  </w:style>
  <w:style w:type="character" w:customStyle="1" w:styleId="usoboll1Carattere">
    <w:name w:val="usoboll1 Carattere"/>
    <w:rPr>
      <w:rFonts w:ascii="Times New Roman" w:eastAsia="Times New Roman" w:hAnsi="Times New Roman" w:cs="Times New Roman"/>
      <w:sz w:val="24"/>
      <w:szCs w:val="24"/>
      <w:lang w:eastAsia="it-IT"/>
    </w:rPr>
  </w:style>
  <w:style w:type="character" w:customStyle="1" w:styleId="TestofumettoCarattere">
    <w:name w:val="Testo fumetto Carattere"/>
    <w:basedOn w:val="Carpredefinitoparagrafo"/>
    <w:rPr>
      <w:rFonts w:ascii="Tahoma" w:eastAsia="Times New Roman" w:hAnsi="Tahoma" w:cs="Tahoma"/>
      <w:sz w:val="16"/>
      <w:szCs w:val="16"/>
      <w:lang w:eastAsia="it-IT"/>
    </w:rPr>
  </w:style>
  <w:style w:type="character" w:customStyle="1" w:styleId="IntestazioneCarattere">
    <w:name w:val="Intestazione Carattere"/>
    <w:basedOn w:val="Carpredefinitoparagrafo"/>
    <w:rPr>
      <w:rFonts w:ascii="Times New Roman" w:eastAsia="Times New Roman" w:hAnsi="Times New Roman" w:cs="Times New Roman"/>
      <w:sz w:val="20"/>
      <w:szCs w:val="20"/>
      <w:lang w:eastAsia="it-I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rPr>
      <w:rFonts w:ascii="Times New Roman" w:eastAsia="Times New Roman" w:hAnsi="Times New Roman" w:cs="Times New Roman"/>
      <w:b/>
      <w:bCs/>
      <w:sz w:val="20"/>
      <w:szCs w:val="20"/>
      <w:lang w:eastAsia="it-IT"/>
    </w:rPr>
  </w:style>
  <w:style w:type="character" w:customStyle="1" w:styleId="Corpodeltesto3Carattere">
    <w:name w:val="Corpo del testo 3 Carattere"/>
    <w:basedOn w:val="Carpredefinitoparagrafo"/>
    <w:rPr>
      <w:rFonts w:ascii="Times New Roman" w:eastAsia="MS Mincho" w:hAnsi="Times New Roman" w:cs="Times New Roman"/>
      <w:sz w:val="16"/>
      <w:szCs w:val="16"/>
      <w:lang w:eastAsia="it-IT"/>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Symbol"/>
    </w:rPr>
  </w:style>
  <w:style w:type="numbering" w:customStyle="1" w:styleId="Outline">
    <w:name w:val="Outline"/>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3902</Words>
  <Characters>22247</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Carpentiere</dc:creator>
  <cp:keywords/>
  <dc:description/>
  <cp:lastModifiedBy>Maria Antonietta Chiaramonte</cp:lastModifiedBy>
  <cp:revision>7</cp:revision>
  <cp:lastPrinted>2023-05-11T13:51:00Z</cp:lastPrinted>
  <dcterms:created xsi:type="dcterms:W3CDTF">2023-05-12T09:52:00Z</dcterms:created>
  <dcterms:modified xsi:type="dcterms:W3CDTF">2023-05-31T10:48:00Z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