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</w:rPr>
      </w:pPr>
      <w:bookmarkStart w:id="0" w:name="_bookmark0"/>
      <w:bookmarkStart w:id="1" w:name="_Toc140479322"/>
      <w:bookmarkEnd w:id="0"/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</w:rPr>
        <w:t>SPESE AMMISSIBILI</w:t>
      </w:r>
      <w:bookmarkEnd w:id="1"/>
    </w:p>
    <w:p>
      <w:pPr>
        <w:pStyle w:val="Corpodeltesto"/>
        <w:spacing w:lineRule="auto" w:line="276"/>
        <w:ind w:left="0" w:right="116" w:hanging="0"/>
        <w:jc w:val="both"/>
        <w:rPr>
          <w:sz w:val="26"/>
          <w:szCs w:val="26"/>
        </w:rPr>
      </w:pPr>
      <w:r>
        <w:rPr>
          <w:sz w:val="26"/>
          <w:szCs w:val="26"/>
        </w:rPr>
        <w:t>Sono ammesse le spese direttamente correlate alla realizzazione delle attività progettuali nell’ambito delle azioni elencate all’art. 7 del decreto ministeriale n. 331843/2023.</w:t>
      </w:r>
    </w:p>
    <w:p>
      <w:pPr>
        <w:pStyle w:val="Corpodeltesto"/>
        <w:spacing w:lineRule="auto" w:line="276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Nell’ambito di quanto sopra indicato, si precisa che:</w:t>
      </w:r>
    </w:p>
    <w:p>
      <w:pPr>
        <w:pStyle w:val="Corpodeltesto"/>
        <w:numPr>
          <w:ilvl w:val="0"/>
          <w:numId w:val="3"/>
        </w:numPr>
        <w:spacing w:lineRule="auto" w:line="276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>
        <w:rPr>
          <w:b/>
          <w:bCs/>
          <w:sz w:val="26"/>
          <w:szCs w:val="26"/>
        </w:rPr>
        <w:t>spese riguardanti le azioni di cui alle lettere d) ed e)</w:t>
      </w:r>
      <w:r>
        <w:rPr>
          <w:sz w:val="26"/>
          <w:szCs w:val="26"/>
        </w:rPr>
        <w:t xml:space="preserve"> sono consentite solo se abbinate, in ciascun Paese terzo, a spese per almeno una delle azioni di cui alle lettere a), b) e c).</w:t>
      </w:r>
    </w:p>
    <w:p>
      <w:pPr>
        <w:pStyle w:val="Corpodeltesto"/>
        <w:numPr>
          <w:ilvl w:val="0"/>
          <w:numId w:val="3"/>
        </w:numPr>
        <w:spacing w:lineRule="auto" w:line="276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>
        <w:rPr>
          <w:b/>
          <w:bCs/>
          <w:sz w:val="26"/>
          <w:szCs w:val="26"/>
        </w:rPr>
        <w:t>spese riguardanti l’azione di cui alla lettera d)</w:t>
      </w:r>
      <w:r>
        <w:rPr>
          <w:sz w:val="26"/>
          <w:szCs w:val="26"/>
        </w:rPr>
        <w:t>, la cui congruità è valutata da parte delle autorità competenti, non possono superare il 3% dell’importo complessivo del progetto presentato.</w:t>
      </w:r>
    </w:p>
    <w:p>
      <w:pPr>
        <w:pStyle w:val="Corpodeltesto"/>
        <w:numPr>
          <w:ilvl w:val="0"/>
          <w:numId w:val="3"/>
        </w:numPr>
        <w:spacing w:lineRule="auto" w:line="276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>
        <w:rPr>
          <w:b/>
          <w:bCs/>
          <w:sz w:val="26"/>
          <w:szCs w:val="26"/>
        </w:rPr>
        <w:t>spese riguardanti l’azione di cui alla lettera e)</w:t>
      </w:r>
      <w:r>
        <w:rPr>
          <w:sz w:val="26"/>
          <w:szCs w:val="26"/>
        </w:rPr>
        <w:t>, la cui congruità è valutata da parte delle autorità competenti, non possono superare il 3% dell’importo complessivo del progetto presentato.</w:t>
      </w:r>
    </w:p>
    <w:p>
      <w:pPr>
        <w:pStyle w:val="Corpodeltesto"/>
        <w:numPr>
          <w:ilvl w:val="0"/>
          <w:numId w:val="3"/>
        </w:numPr>
        <w:spacing w:lineRule="auto" w:line="276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Sono consentite, nel limite massimo del 4% del totale del valore del progetto, </w:t>
      </w:r>
      <w:r>
        <w:rPr>
          <w:b/>
          <w:bCs/>
          <w:sz w:val="26"/>
          <w:szCs w:val="26"/>
        </w:rPr>
        <w:t>spese amministrative, in capo al soggetto proponente</w:t>
      </w:r>
      <w:r>
        <w:rPr>
          <w:sz w:val="26"/>
          <w:szCs w:val="26"/>
        </w:rPr>
        <w:t>, strettamente connesse alla gestione del progetto stesso.</w:t>
      </w:r>
    </w:p>
    <w:p>
      <w:pPr>
        <w:pStyle w:val="Corpodeltesto"/>
        <w:numPr>
          <w:ilvl w:val="0"/>
          <w:numId w:val="3"/>
        </w:numPr>
        <w:spacing w:lineRule="auto" w:line="276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Sono consentite </w:t>
      </w:r>
      <w:r>
        <w:rPr>
          <w:b/>
          <w:bCs/>
          <w:sz w:val="26"/>
          <w:szCs w:val="26"/>
        </w:rPr>
        <w:t>spese collegate ad attività di direzione tecnica e di coordinamento organizzativo del progetto</w:t>
      </w:r>
      <w:r>
        <w:rPr>
          <w:sz w:val="26"/>
          <w:szCs w:val="26"/>
        </w:rPr>
        <w:t>. Il proponente può prevedere di dare mandato ad uno o più soggetti terzi per tale attività, che deve essere connessa con la realizzazione del programma di promozione.</w:t>
      </w:r>
    </w:p>
    <w:p>
      <w:pPr>
        <w:pStyle w:val="Corpodeltesto"/>
        <w:spacing w:lineRule="auto" w:line="276"/>
        <w:ind w:left="709" w:hanging="0"/>
        <w:jc w:val="both"/>
        <w:rPr>
          <w:sz w:val="26"/>
          <w:szCs w:val="26"/>
        </w:rPr>
      </w:pPr>
      <w:r>
        <w:rPr>
          <w:sz w:val="26"/>
          <w:szCs w:val="26"/>
        </w:rPr>
        <w:t>Tali spese, la cui congruità è valutata da parte delle autorità competenti, non possono superare il 5% dell’importo complessivo del progetto presentato.</w:t>
      </w:r>
    </w:p>
    <w:p>
      <w:pPr>
        <w:pStyle w:val="Corpodeltesto"/>
        <w:spacing w:lineRule="auto" w:line="276"/>
        <w:ind w:left="709" w:hanging="0"/>
        <w:jc w:val="both"/>
        <w:rPr>
          <w:sz w:val="26"/>
          <w:szCs w:val="26"/>
        </w:rPr>
      </w:pPr>
      <w:r>
        <w:rPr>
          <w:sz w:val="26"/>
          <w:szCs w:val="26"/>
        </w:rPr>
        <w:t>Qualora il soggetto proponente intenda avvalersi di un soggetto che realizzi attività di coordinamento dell’esecuzione del progetto non può presentare anche le spese amministrative in capo al soggetto proponente.</w:t>
      </w:r>
    </w:p>
    <w:p>
      <w:pPr>
        <w:pStyle w:val="Corpodeltesto"/>
        <w:numPr>
          <w:ilvl w:val="0"/>
          <w:numId w:val="3"/>
        </w:numPr>
        <w:spacing w:lineRule="auto" w:line="276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Sono consentite </w:t>
      </w:r>
      <w:r>
        <w:rPr>
          <w:b/>
          <w:bCs/>
          <w:sz w:val="26"/>
          <w:szCs w:val="26"/>
        </w:rPr>
        <w:t>spese relative a trasferte, vitto, alloggio e trasporti</w:t>
      </w:r>
      <w:r>
        <w:rPr>
          <w:sz w:val="26"/>
          <w:szCs w:val="26"/>
        </w:rPr>
        <w:t xml:space="preserve"> sostenute da soggetti incaricati dal beneficiario, solo se finalizzate alla partecipazione ad attività promozionali proposte, di cui alle azioni a), b) e c).</w:t>
      </w:r>
    </w:p>
    <w:p>
      <w:pPr>
        <w:pStyle w:val="Corpodeltesto"/>
        <w:spacing w:lineRule="auto" w:line="276"/>
        <w:ind w:left="709" w:hanging="0"/>
        <w:jc w:val="both"/>
        <w:rPr>
          <w:sz w:val="26"/>
          <w:szCs w:val="26"/>
        </w:rPr>
      </w:pPr>
      <w:r>
        <w:rPr>
          <w:sz w:val="26"/>
          <w:szCs w:val="26"/>
        </w:rPr>
        <w:t>Tali spese, oggetto di valutazione di congruità da parte delle autorità competenti, non possono comunque superare i valori massimali di seguito precisati:</w:t>
      </w:r>
    </w:p>
    <w:p>
      <w:pPr>
        <w:pStyle w:val="Corpodeltesto"/>
        <w:numPr>
          <w:ilvl w:val="0"/>
          <w:numId w:val="4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vitto, massimo € 60,00 giornalieri per persona</w:t>
      </w:r>
    </w:p>
    <w:p>
      <w:pPr>
        <w:pStyle w:val="Corpodeltesto"/>
        <w:numPr>
          <w:ilvl w:val="0"/>
          <w:numId w:val="4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alloggio, massimo € 180,00 giornalieri per persona</w:t>
      </w:r>
    </w:p>
    <w:p>
      <w:pPr>
        <w:pStyle w:val="Corpodeltesto"/>
        <w:numPr>
          <w:ilvl w:val="0"/>
          <w:numId w:val="4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trasporto locale, massimo € 30,00 giornalieri per persona</w:t>
      </w:r>
    </w:p>
    <w:p>
      <w:pPr>
        <w:pStyle w:val="Corpodeltesto"/>
        <w:numPr>
          <w:ilvl w:val="0"/>
          <w:numId w:val="5"/>
        </w:numPr>
        <w:spacing w:lineRule="auto" w:line="276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Sono consentite, nell’ambito dell’azione di cui alle lettere a), b) e c) </w:t>
      </w:r>
      <w:r>
        <w:rPr>
          <w:b/>
          <w:bCs/>
          <w:sz w:val="26"/>
          <w:szCs w:val="26"/>
        </w:rPr>
        <w:t>spese collegate ad attività di Pubbliche relazioni</w:t>
      </w:r>
      <w:r>
        <w:rPr>
          <w:sz w:val="26"/>
          <w:szCs w:val="26"/>
        </w:rPr>
        <w:t>. Tali spese, la cui congruità è valutata da parte delle autorità competenti, non possono superare il 5% del costo dell’azione di riferimento in un determinato Paese terzo.</w:t>
      </w:r>
    </w:p>
    <w:p>
      <w:pPr>
        <w:pStyle w:val="Corpodeltesto"/>
        <w:spacing w:lineRule="auto" w:line="276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itolo1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</w:rPr>
      </w:pPr>
      <w:bookmarkStart w:id="2" w:name="_Toc140479323"/>
      <w:bookmarkStart w:id="3" w:name="_bookmark1"/>
      <w:bookmarkEnd w:id="3"/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</w:rPr>
        <w:t>SPESE NON AMMISSIBILI</w:t>
      </w:r>
      <w:bookmarkEnd w:id="2"/>
    </w:p>
    <w:p>
      <w:pPr>
        <w:pStyle w:val="Corpodeltesto"/>
        <w:spacing w:lineRule="auto" w:line="276"/>
        <w:ind w:left="112" w:hanging="0"/>
        <w:jc w:val="both"/>
        <w:rPr>
          <w:sz w:val="26"/>
          <w:szCs w:val="26"/>
        </w:rPr>
      </w:pPr>
      <w:r>
        <w:rPr>
          <w:sz w:val="26"/>
          <w:szCs w:val="26"/>
        </w:rPr>
        <w:t>Non sono ammissibili le seguenti tipologie di spesa: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auto" w:line="276"/>
        <w:ind w:left="965" w:hanging="373"/>
        <w:jc w:val="both"/>
        <w:rPr>
          <w:sz w:val="26"/>
          <w:szCs w:val="26"/>
        </w:rPr>
      </w:pPr>
      <w:r>
        <w:rPr>
          <w:sz w:val="26"/>
          <w:szCs w:val="26"/>
        </w:rPr>
        <w:t>Spese non connesse direttamente alla realizzazione del progetto.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auto" w:line="276"/>
        <w:ind w:left="965" w:hanging="373"/>
        <w:jc w:val="both"/>
        <w:rPr>
          <w:sz w:val="26"/>
          <w:szCs w:val="26"/>
        </w:rPr>
      </w:pPr>
      <w:r>
        <w:rPr>
          <w:sz w:val="26"/>
          <w:szCs w:val="26"/>
        </w:rPr>
        <w:t>Spese di personale del beneficiario.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auto" w:line="276"/>
        <w:ind w:left="965" w:hanging="373"/>
        <w:jc w:val="both"/>
        <w:rPr>
          <w:sz w:val="26"/>
          <w:szCs w:val="26"/>
        </w:rPr>
      </w:pPr>
      <w:r>
        <w:rPr>
          <w:sz w:val="26"/>
          <w:szCs w:val="26"/>
        </w:rPr>
        <w:t>Spese relative ad attività realizzate prima del 16 ottobre 2023 e prima dell’emanazione delle graduatorie da parte delle autorità competenti.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auto" w:line="276"/>
        <w:ind w:left="965" w:hanging="373"/>
        <w:jc w:val="both"/>
        <w:rPr>
          <w:sz w:val="26"/>
          <w:szCs w:val="26"/>
        </w:rPr>
      </w:pPr>
      <w:r>
        <w:rPr>
          <w:sz w:val="26"/>
          <w:szCs w:val="26"/>
        </w:rPr>
        <w:t>Spese relative ad attività realizzate dopo il 15 ottobre 2024.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auto" w:line="276"/>
        <w:ind w:left="965" w:hanging="373"/>
        <w:jc w:val="both"/>
        <w:rPr>
          <w:sz w:val="26"/>
          <w:szCs w:val="26"/>
        </w:rPr>
      </w:pPr>
      <w:r>
        <w:rPr>
          <w:sz w:val="26"/>
          <w:szCs w:val="26"/>
        </w:rPr>
        <w:t>Spese sostenute per la presentazione del progetto.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auto" w:line="276"/>
        <w:ind w:left="965" w:hanging="373"/>
        <w:jc w:val="both"/>
        <w:rPr>
          <w:sz w:val="26"/>
          <w:szCs w:val="26"/>
        </w:rPr>
      </w:pPr>
      <w:r>
        <w:rPr>
          <w:sz w:val="26"/>
          <w:szCs w:val="26"/>
        </w:rPr>
        <w:t>Spese relative all’acquisizione di mezzi strumentali.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auto" w:line="276"/>
        <w:ind w:left="965" w:hanging="373"/>
        <w:jc w:val="both"/>
        <w:rPr>
          <w:sz w:val="26"/>
          <w:szCs w:val="26"/>
        </w:rPr>
      </w:pPr>
      <w:r>
        <w:rPr>
          <w:sz w:val="26"/>
          <w:szCs w:val="26"/>
        </w:rPr>
        <w:t>Spese per la realizzazione di investimenti di tipo strutturale (come, ad esempio, spese per la realizzazione di siti internet dei soggetti partecipanti o spese per lo sviluppo della loro immagine coordinata aziendale etc.).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auto" w:line="276"/>
        <w:ind w:left="965" w:hanging="373"/>
        <w:jc w:val="both"/>
        <w:rPr>
          <w:sz w:val="26"/>
          <w:szCs w:val="26"/>
        </w:rPr>
      </w:pPr>
      <w:r>
        <w:rPr>
          <w:sz w:val="26"/>
          <w:szCs w:val="26"/>
        </w:rPr>
        <w:t>Spese per emissione di garanzia di cui all’art. 13, c. 2, del decreto ministeriale n. 331843/2023.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auto" w:line="276"/>
        <w:ind w:left="965" w:right="111" w:hanging="372"/>
        <w:jc w:val="both"/>
        <w:rPr>
          <w:sz w:val="26"/>
          <w:szCs w:val="26"/>
        </w:rPr>
      </w:pPr>
      <w:r>
        <w:rPr>
          <w:sz w:val="26"/>
          <w:szCs w:val="26"/>
        </w:rPr>
        <w:t>Spese per l’imposta sul valore aggiunto (IVA), salvo nel caso in cui tale spesa non sia recuperabile ai sensi della normativa vigente.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auto" w:line="276"/>
        <w:ind w:left="965" w:right="111" w:hanging="372"/>
        <w:jc w:val="both"/>
        <w:rPr>
          <w:sz w:val="26"/>
          <w:szCs w:val="26"/>
        </w:rPr>
      </w:pPr>
      <w:r>
        <w:rPr>
          <w:sz w:val="26"/>
          <w:szCs w:val="26"/>
        </w:rPr>
        <w:t>Spese per l’acquisto dei prodotti oggetto di promozione.</w:t>
      </w:r>
    </w:p>
    <w:p>
      <w:pPr>
        <w:pStyle w:val="Corpodeltesto"/>
        <w:spacing w:lineRule="auto" w:line="276"/>
        <w:ind w:left="0" w:hanging="0"/>
        <w:jc w:val="both"/>
        <w:rPr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020" w:header="710" w:top="1320" w:footer="780" w:bottom="9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204922A6">
              <wp:simplePos x="0" y="0"/>
              <wp:positionH relativeFrom="page">
                <wp:posOffset>3703955</wp:posOffset>
              </wp:positionH>
              <wp:positionV relativeFrom="page">
                <wp:posOffset>10057130</wp:posOffset>
              </wp:positionV>
              <wp:extent cx="153035" cy="194945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60" w:hanging="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sz w:val="26"/>
                              <w:szCs w:val="26"/>
                            </w:rPr>
                            <w:instrText> PAGE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291.65pt;margin-top:791.9pt;width:11.95pt;height:15.25pt;mso-wrap-style:square;v-text-anchor:top;mso-position-horizontal-relative:page;mso-position-vertical-relative:page" wp14:anchorId="204922A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0" w:after="0"/>
                      <w:ind w:left="60" w:hanging="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sz w:val="26"/>
                        <w:szCs w:val="26"/>
                      </w:rPr>
                      <w:instrText> PAGE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before="10" w:after="0"/>
      <w:ind w:left="0" w:hanging="0"/>
      <w:jc w:val="center"/>
      <w:rPr>
        <w:sz w:val="26"/>
        <w:szCs w:val="26"/>
      </w:rPr>
    </w:pPr>
    <w:r>
      <w:rPr>
        <w:b/>
        <w:sz w:val="26"/>
        <w:szCs w:val="26"/>
      </w:rPr>
      <w:t>ALLEGATO</w:t>
    </w:r>
    <w:r>
      <w:rPr>
        <w:b/>
        <w:spacing w:val="-1"/>
        <w:sz w:val="26"/>
        <w:szCs w:val="26"/>
      </w:rPr>
      <w:t xml:space="preserve"> </w:t>
    </w:r>
    <w:r>
      <w:rPr>
        <w:b/>
        <w:sz w:val="26"/>
        <w:szCs w:val="26"/>
      </w:rPr>
      <w:t>10</w:t>
    </w:r>
    <w:r>
      <w:rPr>
        <w:sz w:val="26"/>
        <w:szCs w:val="26"/>
      </w:rPr>
      <w:t>–</w:t>
    </w:r>
    <w:r>
      <w:rPr>
        <w:spacing w:val="-1"/>
        <w:sz w:val="26"/>
        <w:szCs w:val="26"/>
      </w:rPr>
      <w:t xml:space="preserve"> </w:t>
    </w:r>
    <w:r>
      <w:rPr>
        <w:sz w:val="26"/>
        <w:szCs w:val="26"/>
      </w:rPr>
      <w:t>Spese</w:t>
    </w:r>
    <w:r>
      <w:rPr>
        <w:spacing w:val="-1"/>
        <w:sz w:val="26"/>
        <w:szCs w:val="26"/>
      </w:rPr>
      <w:t xml:space="preserve"> </w:t>
    </w:r>
    <w:r>
      <w:rPr>
        <w:sz w:val="26"/>
        <w:szCs w:val="26"/>
      </w:rPr>
      <w:t>ammissibili e spese non ammissibili</w:t>
    </w:r>
  </w:p>
  <w:p>
    <w:pPr>
      <w:pStyle w:val="Corpodeltesto"/>
      <w:spacing w:lineRule="auto" w:line="12"/>
      <w:ind w:left="0" w:hanging="0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65" w:hanging="372"/>
      </w:pPr>
      <w:rPr>
        <w:sz w:val="24"/>
        <w:szCs w:val="24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0" w:hanging="37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37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1" w:hanging="37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2" w:hanging="37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3" w:hanging="37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3" w:hanging="37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4" w:hanging="37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5" w:hanging="372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5"/>
      <w:numFmt w:val="bullet"/>
      <w:lvlText w:val="•"/>
      <w:lvlJc w:val="left"/>
      <w:pPr>
        <w:tabs>
          <w:tab w:val="num" w:pos="0"/>
        </w:tabs>
        <w:ind w:left="13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bullet"/>
      <w:lvlText w:val="-"/>
      <w:lvlJc w:val="left"/>
      <w:pPr>
        <w:tabs>
          <w:tab w:val="num" w:pos="0"/>
        </w:tabs>
        <w:ind w:left="16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45" w:hanging="360"/>
      </w:pPr>
      <w:rPr>
        <w:rFonts w:ascii="Wingdings" w:hAnsi="Wingdings" w:cs="Wingdings" w:hint="default"/>
      </w:rPr>
    </w:lvl>
  </w:abstractNum>
  <w:abstractNum w:abstractNumId="5">
    <w:lvl w:ilvl="0">
      <w:start w:val="5"/>
      <w:numFmt w:val="bullet"/>
      <w:lvlText w:val="•"/>
      <w:lvlJc w:val="left"/>
      <w:pPr>
        <w:tabs>
          <w:tab w:val="num" w:pos="0"/>
        </w:tabs>
        <w:ind w:left="16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4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fb0d09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02bd0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02bd0"/>
    <w:rPr>
      <w:rFonts w:ascii="Times New Roman" w:hAnsi="Times New Roman" w:eastAsia="Times New Roman" w:cs="Times New Roman"/>
      <w:lang w:val="it-I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fb0d0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fb0d09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965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65" w:hanging="28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02bd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02bd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OCHeading">
    <w:name w:val="TOC Heading"/>
    <w:basedOn w:val="Titolo1"/>
    <w:next w:val="Normal"/>
    <w:uiPriority w:val="39"/>
    <w:unhideWhenUsed/>
    <w:qFormat/>
    <w:rsid w:val="00fb0d09"/>
    <w:pPr>
      <w:widowControl/>
      <w:spacing w:lineRule="auto" w:line="259"/>
    </w:pPr>
    <w:rPr>
      <w:lang w:eastAsia="it-IT"/>
    </w:rPr>
  </w:style>
  <w:style w:type="paragraph" w:styleId="Indice1">
    <w:name w:val="TOC 1"/>
    <w:basedOn w:val="Normal"/>
    <w:next w:val="Normal"/>
    <w:autoRedefine/>
    <w:uiPriority w:val="39"/>
    <w:unhideWhenUsed/>
    <w:rsid w:val="00fb0d09"/>
    <w:pPr>
      <w:spacing w:before="0" w:after="10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C4B6-5C8B-4BA1-A790-DB096367FE74}"/>
</file>

<file path=customXml/itemProps2.xml><?xml version="1.0" encoding="utf-8"?>
<ds:datastoreItem xmlns:ds="http://schemas.openxmlformats.org/officeDocument/2006/customXml" ds:itemID="{B693CD2E-1557-481A-8980-965264C9EBC3}"/>
</file>

<file path=customXml/itemProps3.xml><?xml version="1.0" encoding="utf-8"?>
<ds:datastoreItem xmlns:ds="http://schemas.openxmlformats.org/officeDocument/2006/customXml" ds:itemID="{C5155593-CDDA-4708-9200-E4C68298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LibreOffice/7.1.0.3$Windows_X86_64 LibreOffice_project/f6099ecf3d29644b5008cc8f48f42f4a40986e4c</Application>
  <AppVersion>15.0000</AppVersion>
  <Pages>2</Pages>
  <Words>546</Words>
  <Characters>3067</Characters>
  <CharactersWithSpaces>3561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2023-07-18T17:11:00Z</dcterms:created>
  <dc:creator/>
  <dc:description/>
  <dc:language>it-IT</dc:language>
  <cp:lastModifiedBy/>
  <dcterms:modified xsi:type="dcterms:W3CDTF">2023-07-20T09:28:00Z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2023-07-14T00:00:00Z</vt:filetime>
  </property>
</Properties>
</file>