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8D6DEA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63243369"/>
      <w:r w:rsidRPr="008D6DEA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22"/>
          <w:szCs w:val="22"/>
          <w:lang w:eastAsia="it-IT"/>
        </w:rPr>
        <w:t>REPUBBLICA</w:t>
      </w:r>
      <w:r w:rsidRPr="008D6DEA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22"/>
          <w:szCs w:val="22"/>
          <w:lang w:eastAsia="it-IT"/>
        </w:rPr>
        <w:t xml:space="preserve"> </w:t>
      </w:r>
      <w:r w:rsidRPr="008D6DEA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22"/>
          <w:szCs w:val="22"/>
          <w:lang w:eastAsia="it-IT"/>
        </w:rPr>
        <w:t>ITALIANA</w:t>
      </w:r>
    </w:p>
    <w:p w14:paraId="08BF11D3" w14:textId="77777777" w:rsidR="00D61EF6" w:rsidRPr="008D6DEA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  <w:r w:rsidRPr="008D6DEA">
        <w:rPr>
          <w:rFonts w:asciiTheme="minorHAnsi" w:hAnsiTheme="minorHAnsi" w:cstheme="minorHAnsi"/>
          <w:noProof/>
          <w:sz w:val="22"/>
          <w:szCs w:val="22"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6DEA">
        <w:rPr>
          <w:rFonts w:asciiTheme="minorHAnsi" w:hAnsiTheme="minorHAnsi" w:cstheme="minorHAnsi"/>
          <w:noProof/>
          <w:sz w:val="22"/>
          <w:szCs w:val="22"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6DEA">
        <w:rPr>
          <w:rFonts w:asciiTheme="minorHAnsi" w:hAnsiTheme="minorHAnsi" w:cstheme="minorHAnsi"/>
          <w:noProof/>
          <w:sz w:val="22"/>
          <w:szCs w:val="22"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8D6DEA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8D6DEA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8D6DEA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8D6DEA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8D6DEA">
        <w:rPr>
          <w:rStyle w:val="Carpredefinitoparagrafo1"/>
          <w:rFonts w:asciiTheme="minorHAnsi" w:eastAsia="Calibri" w:hAnsiTheme="minorHAnsi" w:cstheme="minorHAnsi"/>
          <w:smallCaps/>
          <w:sz w:val="22"/>
          <w:szCs w:val="22"/>
          <w:lang w:eastAsia="it-IT"/>
        </w:rPr>
        <w:t>REGIONE</w:t>
      </w:r>
      <w:r w:rsidRPr="008D6DEA">
        <w:rPr>
          <w:rStyle w:val="Carpredefinitoparagrafo1"/>
          <w:rFonts w:asciiTheme="minorHAnsi" w:eastAsia="Arial" w:hAnsiTheme="minorHAnsi" w:cstheme="minorHAnsi"/>
          <w:smallCaps/>
          <w:sz w:val="22"/>
          <w:szCs w:val="22"/>
          <w:lang w:eastAsia="it-IT"/>
        </w:rPr>
        <w:t xml:space="preserve"> </w:t>
      </w:r>
      <w:r w:rsidRPr="008D6DEA">
        <w:rPr>
          <w:rStyle w:val="Carpredefinitoparagrafo1"/>
          <w:rFonts w:asciiTheme="minorHAnsi" w:hAnsiTheme="minorHAnsi" w:cstheme="minorHAnsi"/>
          <w:smallCaps/>
          <w:sz w:val="22"/>
          <w:szCs w:val="22"/>
          <w:lang w:eastAsia="it-IT"/>
        </w:rPr>
        <w:t>SICILIANA</w:t>
      </w:r>
    </w:p>
    <w:p w14:paraId="4377502D" w14:textId="77777777" w:rsidR="00D61EF6" w:rsidRPr="008D6DEA" w:rsidRDefault="00B253D3">
      <w:pPr>
        <w:jc w:val="center"/>
        <w:rPr>
          <w:rFonts w:asciiTheme="minorHAnsi" w:hAnsiTheme="minorHAnsi" w:cstheme="minorHAnsi"/>
          <w:sz w:val="22"/>
          <w:szCs w:val="22"/>
        </w:rPr>
      </w:pPr>
      <w:r w:rsidRPr="008D6DEA">
        <w:rPr>
          <w:rStyle w:val="Carpredefinitoparagrafo1"/>
          <w:rFonts w:asciiTheme="minorHAnsi" w:eastAsia="Calibri" w:hAnsiTheme="minorHAnsi" w:cstheme="minorHAnsi"/>
          <w:smallCaps/>
          <w:color w:val="000000"/>
          <w:sz w:val="22"/>
          <w:szCs w:val="22"/>
          <w:lang w:bidi="it-IT"/>
        </w:rPr>
        <w:t>ASSESSORATO</w:t>
      </w:r>
      <w:r w:rsidRPr="008D6DEA">
        <w:rPr>
          <w:rStyle w:val="Carpredefinitoparagrafo1"/>
          <w:rFonts w:asciiTheme="minorHAnsi" w:eastAsia="Arial" w:hAnsiTheme="minorHAnsi" w:cstheme="minorHAnsi"/>
          <w:smallCaps/>
          <w:color w:val="000000"/>
          <w:sz w:val="22"/>
          <w:szCs w:val="22"/>
          <w:lang w:bidi="it-IT"/>
        </w:rPr>
        <w:t xml:space="preserve"> </w:t>
      </w:r>
      <w:r w:rsidRPr="008D6DEA">
        <w:rPr>
          <w:rStyle w:val="Carpredefinitoparagrafo1"/>
          <w:rFonts w:asciiTheme="minorHAnsi" w:eastAsia="Calibri" w:hAnsiTheme="minorHAnsi" w:cstheme="minorHAnsi"/>
          <w:smallCaps/>
          <w:color w:val="000000"/>
          <w:sz w:val="22"/>
          <w:szCs w:val="22"/>
          <w:lang w:bidi="it-IT"/>
        </w:rPr>
        <w:t>DELLE</w:t>
      </w:r>
      <w:r w:rsidRPr="008D6DEA">
        <w:rPr>
          <w:rStyle w:val="Carpredefinitoparagrafo1"/>
          <w:rFonts w:asciiTheme="minorHAnsi" w:eastAsia="Arial" w:hAnsiTheme="minorHAnsi" w:cstheme="minorHAnsi"/>
          <w:smallCaps/>
          <w:color w:val="000000"/>
          <w:sz w:val="22"/>
          <w:szCs w:val="22"/>
          <w:lang w:bidi="it-IT"/>
        </w:rPr>
        <w:t xml:space="preserve"> </w:t>
      </w:r>
      <w:r w:rsidRPr="008D6DEA">
        <w:rPr>
          <w:rStyle w:val="Carpredefinitoparagrafo1"/>
          <w:rFonts w:asciiTheme="minorHAnsi" w:eastAsia="Calibri" w:hAnsiTheme="minorHAnsi" w:cstheme="minorHAnsi"/>
          <w:smallCaps/>
          <w:color w:val="000000"/>
          <w:sz w:val="22"/>
          <w:szCs w:val="22"/>
          <w:lang w:bidi="it-IT"/>
        </w:rPr>
        <w:t>ATTIVITA</w:t>
      </w:r>
      <w:r w:rsidRPr="008D6DEA">
        <w:rPr>
          <w:rStyle w:val="Carpredefinitoparagrafo1"/>
          <w:rFonts w:asciiTheme="minorHAnsi" w:eastAsia="Arial" w:hAnsiTheme="minorHAnsi" w:cstheme="minorHAnsi"/>
          <w:smallCaps/>
          <w:color w:val="000000"/>
          <w:sz w:val="22"/>
          <w:szCs w:val="22"/>
          <w:lang w:bidi="it-IT"/>
        </w:rPr>
        <w:t xml:space="preserve">’ </w:t>
      </w:r>
      <w:r w:rsidRPr="008D6DEA">
        <w:rPr>
          <w:rStyle w:val="Carpredefinitoparagrafo1"/>
          <w:rFonts w:asciiTheme="minorHAnsi" w:eastAsia="Calibri" w:hAnsiTheme="minorHAnsi" w:cstheme="minorHAnsi"/>
          <w:smallCaps/>
          <w:color w:val="000000"/>
          <w:sz w:val="22"/>
          <w:szCs w:val="22"/>
          <w:lang w:bidi="it-IT"/>
        </w:rPr>
        <w:t>PRODUTTIVE</w:t>
      </w:r>
    </w:p>
    <w:bookmarkEnd w:id="0"/>
    <w:p w14:paraId="3AE7DA3B" w14:textId="77777777" w:rsidR="0051406E" w:rsidRPr="008D6DEA" w:rsidRDefault="0051406E">
      <w:pPr>
        <w:rPr>
          <w:rFonts w:asciiTheme="minorHAnsi" w:eastAsia="Arial Unicode MS" w:hAnsiTheme="minorHAnsi" w:cstheme="minorHAnsi"/>
          <w:b/>
          <w:bCs/>
          <w:sz w:val="22"/>
          <w:szCs w:val="22"/>
          <w:lang w:eastAsia="zh-CN" w:bidi="hi-IN"/>
        </w:rPr>
      </w:pPr>
    </w:p>
    <w:p w14:paraId="1954C18B" w14:textId="2B35681D" w:rsidR="00D61EF6" w:rsidRPr="008D6DEA" w:rsidRDefault="0051406E">
      <w:pPr>
        <w:rPr>
          <w:rFonts w:asciiTheme="minorHAnsi" w:hAnsiTheme="minorHAnsi" w:cstheme="minorHAnsi"/>
          <w:sz w:val="28"/>
          <w:szCs w:val="28"/>
        </w:rPr>
      </w:pPr>
      <w:r w:rsidRPr="008D6DEA">
        <w:rPr>
          <w:rFonts w:asciiTheme="minorHAnsi" w:eastAsia="Arial Unicode MS" w:hAnsiTheme="minorHAnsi" w:cstheme="minorHAnsi"/>
          <w:b/>
          <w:bCs/>
          <w:sz w:val="28"/>
          <w:szCs w:val="28"/>
          <w:lang w:eastAsia="zh-CN" w:bidi="hi-IN"/>
        </w:rPr>
        <w:t>ALLEGATO 7 - Schema fideiussione bancaria o assicurativa</w:t>
      </w:r>
    </w:p>
    <w:p w14:paraId="5E459C64" w14:textId="77777777" w:rsidR="00B67979" w:rsidRPr="008D6DEA" w:rsidRDefault="00B67979">
      <w:pPr>
        <w:pStyle w:val="Default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</w:p>
    <w:p w14:paraId="4836F2B0" w14:textId="77777777" w:rsidR="00341028" w:rsidRPr="008D6DEA" w:rsidRDefault="003410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A82E88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Alla Regione Siciliana</w:t>
      </w:r>
    </w:p>
    <w:p w14:paraId="1E0DDB98" w14:textId="7043BAF4" w:rsidR="008D6DEA" w:rsidRP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Assessorato delle Attività Produttive</w:t>
      </w:r>
    </w:p>
    <w:p w14:paraId="14AE14F0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Dipartimento delle Attività Produttive</w:t>
      </w:r>
    </w:p>
    <w:p w14:paraId="7565EFEF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via degli Emiri 45</w:t>
      </w:r>
    </w:p>
    <w:p w14:paraId="62B29F3B" w14:textId="77777777" w:rsid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90135 Palermo</w:t>
      </w:r>
    </w:p>
    <w:p w14:paraId="434427D5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ind w:left="6237"/>
        <w:rPr>
          <w:rFonts w:asciiTheme="minorHAnsi" w:hAnsiTheme="minorHAnsi" w:cstheme="minorHAnsi"/>
          <w:color w:val="000000"/>
          <w:sz w:val="22"/>
          <w:szCs w:val="22"/>
        </w:rPr>
      </w:pPr>
    </w:p>
    <w:p w14:paraId="79937A90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Premesso che:</w:t>
      </w:r>
    </w:p>
    <w:p w14:paraId="29D1E83D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a) l'impresa (1) ............................................................ (in seguito indicata per brevità “Contraente”), codice</w:t>
      </w:r>
    </w:p>
    <w:p w14:paraId="74C744CC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fiscale ……………………… partita IVA ................................., con sede legale in ........................., rappresentante</w:t>
      </w:r>
    </w:p>
    <w:p w14:paraId="1BA741BE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legale .................................................. nato a ............................. il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.......................... ,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iscritta presso il Registro</w:t>
      </w:r>
    </w:p>
    <w:p w14:paraId="56ADD2B9" w14:textId="4B4FCD23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delle Imprese di .................... al n. ............... 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del….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>. Repertorio Economico Amministrativo, ha presentato alla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Regione Siciliana – Assessorato delle Attività Produttive – Dipartimento delle Attività Produttive, Servizio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…………………………. con sede in Palermo, via degli Emiri n. 45 c.f. 80012000826 (in seguito indicato, per</w:t>
      </w:r>
    </w:p>
    <w:p w14:paraId="6579F4A6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brevità, “Dipartimento”), una domanda finalizzata all’ottenimento di un contributo sull'Avviso Pubblico</w:t>
      </w:r>
    </w:p>
    <w:p w14:paraId="12AB5E4C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relativo all'azione …………………… …………………………………………………………………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...….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8D6DEA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approvato con D.D.G. n.</w:t>
      </w:r>
    </w:p>
    <w:p w14:paraId="534D42DB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>., su un programma di spesa ammissibile di €.............................da</w:t>
      </w:r>
    </w:p>
    <w:p w14:paraId="560A9CB4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realizzare nell'unità locale di …...............................................;</w:t>
      </w:r>
    </w:p>
    <w:p w14:paraId="702A9ABA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b) con D.D.G. n. ………… del …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>., con le modalità descritte nel Disciplinare allegato al decreto stesso, il</w:t>
      </w:r>
    </w:p>
    <w:p w14:paraId="7217CF25" w14:textId="1EF549E2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Dipartimento ha concesso alla contraente per la realizzazione di tale programma, un contributo complessivo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di € ….....................................;</w:t>
      </w:r>
    </w:p>
    <w:p w14:paraId="47F2152D" w14:textId="1A90B74C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c)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ai sensi del punto 4.7 dell'Avviso, è facoltà dei beneficiari richiedere un anticipo fino al 40% del contributo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totale concesso. L'anticipo è subordinato alla presentazione contestuale di una garanzia fideiussoria</w:t>
      </w:r>
    </w:p>
    <w:p w14:paraId="3E60B510" w14:textId="45DA9ACA" w:rsid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bancaria, assicurativa o rilasciata da intermediari finanziari, irrevocabile incondizionata ed escutibile a prima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richiesta.</w:t>
      </w:r>
    </w:p>
    <w:p w14:paraId="0107FC65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F0EFBEF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Tutto ciò premesso, che forma parte integrante del presente atto:</w:t>
      </w:r>
    </w:p>
    <w:p w14:paraId="1CE3C07D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Il/la sottoscritto/a …............................................................(2), in seguito denominata per brevità (“banca” o</w:t>
      </w:r>
    </w:p>
    <w:p w14:paraId="685C4BE2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“società”) con sede legale in.................................via.............................., iscritta nel registro delle imprese di</w:t>
      </w:r>
    </w:p>
    <w:p w14:paraId="37D7FA17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…...............al n...................., iscritta all'albo/elenco......................(3), a mezzo dei sottoscritti signori:</w:t>
      </w:r>
    </w:p>
    <w:p w14:paraId="73A207CA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•…................................ nato a …..............................il..................................;</w:t>
      </w:r>
    </w:p>
    <w:p w14:paraId="2A11BC82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•…................................ nato a …..............................il..................................;</w:t>
      </w:r>
    </w:p>
    <w:p w14:paraId="05797EE7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•…..</w:t>
      </w:r>
    </w:p>
    <w:p w14:paraId="210615D3" w14:textId="2A6A59C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A"/>
          <w:sz w:val="22"/>
          <w:szCs w:val="22"/>
        </w:rPr>
      </w:pPr>
    </w:p>
    <w:p w14:paraId="017FF215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nella rispettiva qualità di..............................................</w:t>
      </w:r>
    </w:p>
    <w:p w14:paraId="2476CC79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dichiara:</w:t>
      </w:r>
    </w:p>
    <w:p w14:paraId="71AC93D5" w14:textId="4CAB344E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di costituirsi con il presente atto </w:t>
      </w:r>
      <w:proofErr w:type="spell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fidejussore</w:t>
      </w:r>
      <w:proofErr w:type="spell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nell'interesse del Contraente ed a favore dell'Assessorato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Regionale delle Attività produttive – Dipartimento delle Attività Produttive (in seguito indicato per brevità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“Ente garantito”) per la restituzione dell'anticipazione per la realizzazione del progetto di cui in premessa,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fino alla concorrenza dell'importo di €.................................................(EURO..................................................),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corrispondente alla prima quota di contributo, che dovrà essere maggiorata degli interessi legali, decorrenti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dalla data dell'erogazione dell'anticipazione a quella del rimborso, oltre imposte, tasse ed oneri di qualsiasi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natura sopportati dall'Ente garantito alle seguenti</w:t>
      </w:r>
    </w:p>
    <w:p w14:paraId="04B04699" w14:textId="77777777" w:rsidR="008D6DEA" w:rsidRDefault="008D6DEA" w:rsidP="008D6DEA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lastRenderedPageBreak/>
        <w:t>CONDIZIONI GENERALI</w:t>
      </w:r>
    </w:p>
    <w:p w14:paraId="7BCDC011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79910491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1 – OGGETTO DELLA GARANZIA</w:t>
      </w:r>
    </w:p>
    <w:p w14:paraId="4B69163A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La “Banca/Società” si obbliga irrevocabilmente ed incondizionatamente a rimborsare all' “Ente garantito” la</w:t>
      </w:r>
    </w:p>
    <w:p w14:paraId="19868A1C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somma complessiva di Euro________________ erogata a titolo di anticipazione al “Contraente”.</w:t>
      </w:r>
    </w:p>
    <w:p w14:paraId="4AC7AF11" w14:textId="15D9B4DF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Tale importo sarà automaticamente maggiorato degli interessi legali decorrenti dalla data dell'erogazione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dell'anticipazione a quella del rimborso, oltre imposte, tasse ed oneri di qualsiasi natura sopportati dal</w:t>
      </w:r>
      <w:r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Ente</w:t>
      </w:r>
    </w:p>
    <w:p w14:paraId="6993F365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garantito.</w:t>
      </w:r>
    </w:p>
    <w:p w14:paraId="229FAE61" w14:textId="77777777" w:rsid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BED49D2" w14:textId="425A70A1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2 - DURATA DELLA GARANZIA E SVINCOLO</w:t>
      </w:r>
    </w:p>
    <w:p w14:paraId="6CB9DE07" w14:textId="6F27BF59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La presente garanzia ha la durata di ________________ mesi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(4) decorrenti dalla data di richiesta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dell’anticipo all'Ente garantito salvo eventuali proroghe disposte dall’Ente garantito che comporteranno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l’automatica estensione della garanzia.</w:t>
      </w:r>
    </w:p>
    <w:p w14:paraId="3187A7A8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Qualora la scadenza della polizza intervenga prima che siano decorsi i 180 giorni dalla data di pubblicazione</w:t>
      </w:r>
    </w:p>
    <w:p w14:paraId="76B7E338" w14:textId="01AC197D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del Decreto di chiusura dell'operazione e di rendicontazione finale, la stessa deve ritenersi rinnovata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automaticamente fino a che sia decorso il suddetto termine. Il mancato pagamento del rinnovo e/o il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supplemento del premio da parte dell’impresa, non potrà essere motivo di opposizione, per la Società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garante per l’eventuale rimborso delle anticipazioni concesse dall’Ente garantito al Contraente.</w:t>
      </w:r>
    </w:p>
    <w:p w14:paraId="0794DD0C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La fideiussione o polizza è svincolata alla data di pubblicazione del Decreto di chiusura dell'operazione e di</w:t>
      </w:r>
    </w:p>
    <w:p w14:paraId="74F0D904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rendicontazione finale, previa apposita dichiarazione liberatoria rilasciata dall'Ente garantito al Garante.</w:t>
      </w:r>
    </w:p>
    <w:p w14:paraId="64EA1B38" w14:textId="77777777" w:rsid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6C26F7B" w14:textId="62F17A34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3 - PAGAMENTO DEL RIMBORSO, RINUNCE E DEROGHE</w:t>
      </w:r>
    </w:p>
    <w:p w14:paraId="7C3B936D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La “Banca/Società”:</w:t>
      </w:r>
    </w:p>
    <w:p w14:paraId="1493C352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a) s’impegna ad effettuare il rimborso a prima e semplice richiesta scritta dell'“Ente garantito”, delle somme</w:t>
      </w:r>
    </w:p>
    <w:p w14:paraId="03B8EB0C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anticipate e non correttamente utilizzate, anche nel caso di mancato rinnovo, comunque, non oltre quindici</w:t>
      </w:r>
    </w:p>
    <w:p w14:paraId="554F31FD" w14:textId="087D817E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giorni dalla ricezione della richiesta stessa, formulata con l'indicazione dell'inadempienza riscontrata da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parte dell'amministrazione, cui, peraltro, non potrà essere opposta alcuna eccezione da parte della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“Banca/Società” stessa, anche nell'eventualità di opposizione proposta dalla Impresa o da altri soggetti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comunque interessati ed anche nel caso che la contraente sia dichiarata nel frattempo fallita ovvero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sottoposta a procedure concorsuali o posta in liquidazione, tutto ciò in espressa deroga a quanto stabilito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dall’art. 1945 del codice civile;</w:t>
      </w:r>
    </w:p>
    <w:p w14:paraId="5A3DAB59" w14:textId="56AB0415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b)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accetta di restituire le somme richieste dall’“Ente garantito” con le modalità che verranno indicate nella</w:t>
      </w:r>
    </w:p>
    <w:p w14:paraId="0AE35984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richiesta di cui al punto precedente;</w:t>
      </w:r>
    </w:p>
    <w:p w14:paraId="26F6BE8B" w14:textId="0030A354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c) accetta che la presente garanzia fideiussoria ha efficacia fino all'esito positivo dei controlli da parte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dell'Unità di Monitoraggio e controllo dell’Ente garantito, sulla spesa rendicontata a chiusura progetto. La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fideiussione è svincolata automaticamente decorsi 360 giorni dalla trasmissione della documentazione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ritenuta completa inerente </w:t>
      </w: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la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rendicontazione finale dell'operazione;</w:t>
      </w:r>
    </w:p>
    <w:p w14:paraId="5E841695" w14:textId="40C2E394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d)rinuncia formalmente ed espressamente al beneficio della preventiva escussione di cui all'art. 1944 cod.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civ. e a quanto contemplato nell’art. 1955 codice civile, volendo ed intendendo restare obbligata in solido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con il “Contraente” fino alla estinzione del credito garantito, nonché con espressa rinuncia ad opporre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eccezioni ai sensi degli artt. 1242 e 1247 codice civile nell’ambito del periodo di durata della garanzia di cui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all’articolo 2;</w:t>
      </w:r>
    </w:p>
    <w:p w14:paraId="4D6BA965" w14:textId="728DFCEA" w:rsid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e)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rinuncia sin da ora ad eccepire la decorrenza del termine di cui all'art. 1957 cod. civ., ovvero la durata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della fideiussione deve essere correlata non alla scadenza dell'obbligazione principale ma al suo integrale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adempimento.</w:t>
      </w:r>
    </w:p>
    <w:p w14:paraId="637036C7" w14:textId="77777777" w:rsidR="00CE654F" w:rsidRPr="008D6DEA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64E63A1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4 - INEFFICACIA DI CLAUSOLE LIMITATIVE DELLA GARANZIA</w:t>
      </w:r>
    </w:p>
    <w:p w14:paraId="41582902" w14:textId="4BD36606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Eventuali altre condizioni di fidejussione comportanti obblighi aggiuntivi e/o diversi in capo all'Ente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garantito o comunque incompatibili con quelle previste nel presente contratto si intendono nulle e/o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inefficaci.</w:t>
      </w:r>
    </w:p>
    <w:p w14:paraId="31116DC1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2A14EE" w14:textId="07FDDCEF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5 – CONDIZIONI DELLA GARANZIA</w:t>
      </w:r>
    </w:p>
    <w:p w14:paraId="2DF26321" w14:textId="6187820C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Il mancato pagamento del premio non potrà in nessun caso essere opposto all’Ente garantito, in deroga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all'art. 1901 del codice civile.</w:t>
      </w:r>
    </w:p>
    <w:p w14:paraId="3A835E04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6D1C6A6" w14:textId="2694EE36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ARTICOLO 6 – FORMA DELLE COMUNICAZIONI</w:t>
      </w:r>
    </w:p>
    <w:p w14:paraId="4D829198" w14:textId="6AD672FD" w:rsid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Tutti gli avvisi, comunicazioni e notificazioni alla “Società” in dipendenza dal presente atto, per essere validi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ed efficaci, devono essere effettuati esclusivamente per mezzo di posta elettronica certificata (PEC) o di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lettera Raccomandata A/R o di ufficiale giudiziario, indirizzati al domicilio della “Società”, così come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risultante dalla premessa, o all’Agenzia alla quale è assegnato il presente contratto.</w:t>
      </w:r>
    </w:p>
    <w:p w14:paraId="4C32012A" w14:textId="77777777" w:rsidR="00CE654F" w:rsidRPr="008D6DEA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5185780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7 – FORO COMPETENTE</w:t>
      </w:r>
    </w:p>
    <w:p w14:paraId="366407E0" w14:textId="6E110809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E’</w:t>
      </w:r>
      <w:proofErr w:type="gram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eletto il Foro di Palermo quale Foro competente alla risoluzione delle controversie derivanti di cui al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presente atto e ad ogni controversia al quale lo stesso sia collegato.</w:t>
      </w:r>
    </w:p>
    <w:p w14:paraId="44AB3474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68EF371" w14:textId="35637C7A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ARTICOLO 8 – ACCETTAZIONE GARANZIA FIDEIUSSORIA</w:t>
      </w:r>
    </w:p>
    <w:p w14:paraId="20A06B2D" w14:textId="450E7806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Rimane espressamente convenuto che la presente garanzia fideiussoria si intenderà tacitamente accettata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qualora nel termine di giorni trenta dalla data di ricevimento, l’Ente garantito non abbia comunicato il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diniego di tale garanzia ai soggetti firmatari del presente atto.</w:t>
      </w:r>
    </w:p>
    <w:p w14:paraId="0E01CEE2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53C51F3" w14:textId="770821B3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Il Garante DICHIARA</w:t>
      </w:r>
    </w:p>
    <w:p w14:paraId="1C68FDE7" w14:textId="320E08EA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A) di possedere i seguenti requisiti ai sensi del </w:t>
      </w:r>
      <w:proofErr w:type="spell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D.lgs</w:t>
      </w:r>
      <w:proofErr w:type="spell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13/08/2010 n.141 e dell'art.1 della Legge 10/06/1982,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n.348 e dell'art. 106 e 107 del </w:t>
      </w:r>
      <w:proofErr w:type="spell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D.lgs</w:t>
      </w:r>
      <w:proofErr w:type="spell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dell'01/08/1993, n.385</w:t>
      </w:r>
    </w:p>
    <w:p w14:paraId="02E15AC4" w14:textId="77777777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–se Banca di essere iscritta all’Albo presso la Banca d’Italia.</w:t>
      </w:r>
    </w:p>
    <w:p w14:paraId="01F5A7F3" w14:textId="698BDD75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–di essere inserita nell'Albo delle imprese autorizzate all'esercizio del ramo cauzioni presso l'IVASS, nelle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sezioni da I a V e/o negli elenchi delle imprese di assicurazione con sede legale in altro Stato membro</w:t>
      </w:r>
    </w:p>
    <w:p w14:paraId="42B185DC" w14:textId="0165FE8F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dell'Unione Europea ammesse ad operare in Italia sia in regime di stabilimento, sia in libera prestazione di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servizi.</w:t>
      </w:r>
    </w:p>
    <w:p w14:paraId="70B7B561" w14:textId="6F906BEE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–se Società finanziaria, di essere inserita nell’elenco speciale di cui all’art. 107, del </w:t>
      </w:r>
      <w:proofErr w:type="spellStart"/>
      <w:r w:rsidRPr="008D6DEA">
        <w:rPr>
          <w:rFonts w:asciiTheme="minorHAnsi" w:hAnsiTheme="minorHAnsi" w:cstheme="minorHAnsi"/>
          <w:color w:val="000000"/>
          <w:sz w:val="22"/>
          <w:szCs w:val="22"/>
        </w:rPr>
        <w:t>D.Lgs</w:t>
      </w:r>
      <w:proofErr w:type="spellEnd"/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 n. 385/1993 presso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la Banca d’Italia.</w:t>
      </w:r>
    </w:p>
    <w:p w14:paraId="32FCE949" w14:textId="41958EF4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B) di non essere stata inibita ad esercitare la propria attività sul territorio nazionale dalle competenti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Autorità nazionali o comunitarie.</w:t>
      </w:r>
    </w:p>
    <w:p w14:paraId="0E0BBF5F" w14:textId="2B61E83F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C) di essere autorizzata ad emettere professionalmente garanzie e fidejussioni al pubblico e, in particolare,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verso le pubbliche amministrazioni.</w:t>
      </w:r>
    </w:p>
    <w:p w14:paraId="13250AE7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3B94FC3" w14:textId="427810B0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65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Il fideiussore 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E65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Il contraente</w:t>
      </w:r>
    </w:p>
    <w:p w14:paraId="2735EB25" w14:textId="617B8E25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 xml:space="preserve">(Firma autenticata) 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(Firma autenticata)</w:t>
      </w:r>
    </w:p>
    <w:p w14:paraId="2EC139A3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FE866E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2671747" w14:textId="2F7BF830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DEA">
        <w:rPr>
          <w:rFonts w:asciiTheme="minorHAnsi" w:hAnsiTheme="minorHAnsi" w:cstheme="minorHAnsi"/>
          <w:color w:val="000000"/>
          <w:sz w:val="22"/>
          <w:szCs w:val="22"/>
        </w:rPr>
        <w:t>Il Fideiussore approva specificamente le seguenti clausole: art. 2 (durata della garanzia e svincolo); art. 3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(pagamento del rimborso, rinunce e deroghe); art. 4 (inefficacia di clausole limitative della garanzia); art. 5</w:t>
      </w:r>
      <w:r w:rsidR="00CE65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D6DEA">
        <w:rPr>
          <w:rFonts w:asciiTheme="minorHAnsi" w:hAnsiTheme="minorHAnsi" w:cstheme="minorHAnsi"/>
          <w:color w:val="000000"/>
          <w:sz w:val="22"/>
          <w:szCs w:val="22"/>
        </w:rPr>
        <w:t>(condizioni della garanzia), art. 7 (foro competente).</w:t>
      </w:r>
    </w:p>
    <w:p w14:paraId="17F4A875" w14:textId="41ED181D" w:rsidR="008D6DEA" w:rsidRPr="008D6DEA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</w:p>
    <w:p w14:paraId="1FEF43AF" w14:textId="77777777" w:rsidR="008D6DEA" w:rsidRPr="00CE654F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E65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Il fideiussore</w:t>
      </w:r>
    </w:p>
    <w:p w14:paraId="65B691BC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5B7C693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C2CDA4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F347A3F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53F461B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561606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9DBAE24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D17C47" w14:textId="77777777" w:rsidR="00CE654F" w:rsidRDefault="00CE654F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044660" w14:textId="6B428ABE" w:rsidR="008D6DEA" w:rsidRPr="00CE654F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E654F">
        <w:rPr>
          <w:rFonts w:asciiTheme="minorHAnsi" w:hAnsiTheme="minorHAnsi" w:cstheme="minorHAnsi"/>
          <w:color w:val="000000"/>
          <w:sz w:val="18"/>
          <w:szCs w:val="18"/>
        </w:rPr>
        <w:t>Note:</w:t>
      </w:r>
    </w:p>
    <w:p w14:paraId="740C9462" w14:textId="77777777" w:rsidR="008D6DEA" w:rsidRPr="00CE654F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E654F">
        <w:rPr>
          <w:rFonts w:asciiTheme="minorHAnsi" w:hAnsiTheme="minorHAnsi" w:cstheme="minorHAnsi"/>
          <w:color w:val="000000"/>
          <w:sz w:val="18"/>
          <w:szCs w:val="18"/>
        </w:rPr>
        <w:t>(1) Soggetto beneficiario del contributo;</w:t>
      </w:r>
    </w:p>
    <w:p w14:paraId="21A566B2" w14:textId="77777777" w:rsidR="008D6DEA" w:rsidRPr="00CE654F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E654F">
        <w:rPr>
          <w:rFonts w:asciiTheme="minorHAnsi" w:hAnsiTheme="minorHAnsi" w:cstheme="minorHAnsi"/>
          <w:color w:val="000000"/>
          <w:sz w:val="18"/>
          <w:szCs w:val="18"/>
        </w:rPr>
        <w:t>(2) soggetto che presta la garanzia;</w:t>
      </w:r>
    </w:p>
    <w:p w14:paraId="52CC8261" w14:textId="288F1C34" w:rsidR="008D6DEA" w:rsidRPr="00CE654F" w:rsidRDefault="008D6DEA" w:rsidP="008D6DE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E654F">
        <w:rPr>
          <w:rFonts w:asciiTheme="minorHAnsi" w:hAnsiTheme="minorHAnsi" w:cstheme="minorHAnsi"/>
          <w:color w:val="000000"/>
          <w:sz w:val="18"/>
          <w:szCs w:val="18"/>
        </w:rPr>
        <w:t>(3) Indicare per le banche o istituti di credito gli estremi di iscrizione all'albo delle banche presso la Banca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>d'Italia, per le società di assicurazione gli estremi di iscrizione all'elenco delle imprese autorizzate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>all'esercizio del ramo cauzioni presso IVASS; per le società finanziarie gli estremi di iscrizione all'elenco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speciale ex art. 106 del D.lgs. N. 385/93 e </w:t>
      </w:r>
      <w:proofErr w:type="spellStart"/>
      <w:r w:rsidRPr="00CE654F">
        <w:rPr>
          <w:rFonts w:asciiTheme="minorHAnsi" w:hAnsiTheme="minorHAnsi" w:cstheme="minorHAnsi"/>
          <w:color w:val="000000"/>
          <w:sz w:val="18"/>
          <w:szCs w:val="18"/>
        </w:rPr>
        <w:t>s.m.i.</w:t>
      </w:r>
      <w:proofErr w:type="spellEnd"/>
      <w:r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presso la Banca d'Italia</w:t>
      </w:r>
    </w:p>
    <w:p w14:paraId="33CB7E88" w14:textId="077B989E" w:rsidR="0065527F" w:rsidRPr="00CE654F" w:rsidRDefault="008D6DEA" w:rsidP="00CE654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E654F">
        <w:rPr>
          <w:rFonts w:asciiTheme="minorHAnsi" w:hAnsiTheme="minorHAnsi" w:cstheme="minorHAnsi"/>
          <w:color w:val="000000"/>
          <w:sz w:val="18"/>
          <w:szCs w:val="18"/>
        </w:rPr>
        <w:t>(4) La durata della polizza va calcolata nel seguente modo: durata del progetto di investimento prevista in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>sede di presentazione del progetto + 360 giorni successivi alla data di conclusione dell’operazione. Si precisa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che la durata dell’operazione è riportata nel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lastRenderedPageBreak/>
        <w:t>disciplinare allegato al Decreto di Finanziamento, e che il</w:t>
      </w:r>
      <w:r w:rsidR="00CE654F" w:rsidRPr="00CE654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CE654F">
        <w:rPr>
          <w:rFonts w:asciiTheme="minorHAnsi" w:hAnsiTheme="minorHAnsi" w:cstheme="minorHAnsi"/>
          <w:color w:val="000000"/>
          <w:sz w:val="18"/>
          <w:szCs w:val="18"/>
        </w:rPr>
        <w:t>termine decorre dall’accettazione del Decreto, previa notifica, da parte del beneficiario.</w:t>
      </w:r>
    </w:p>
    <w:sectPr w:rsidR="0065527F" w:rsidRPr="00CE654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5"/>
  </w:num>
  <w:num w:numId="2" w16cid:durableId="139926481">
    <w:abstractNumId w:val="3"/>
  </w:num>
  <w:num w:numId="3" w16cid:durableId="1663243011">
    <w:abstractNumId w:val="4"/>
  </w:num>
  <w:num w:numId="4" w16cid:durableId="1258751757">
    <w:abstractNumId w:val="2"/>
  </w:num>
  <w:num w:numId="5" w16cid:durableId="1051997093">
    <w:abstractNumId w:val="6"/>
  </w:num>
  <w:num w:numId="6" w16cid:durableId="1770855981">
    <w:abstractNumId w:val="0"/>
  </w:num>
  <w:num w:numId="7" w16cid:durableId="201136092">
    <w:abstractNumId w:val="1"/>
  </w:num>
  <w:num w:numId="8" w16cid:durableId="1956788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95C25"/>
    <w:rsid w:val="001066EB"/>
    <w:rsid w:val="002B640E"/>
    <w:rsid w:val="00341028"/>
    <w:rsid w:val="00411FEA"/>
    <w:rsid w:val="004B363E"/>
    <w:rsid w:val="004D1185"/>
    <w:rsid w:val="004E238E"/>
    <w:rsid w:val="0051406E"/>
    <w:rsid w:val="00554C1C"/>
    <w:rsid w:val="006252E4"/>
    <w:rsid w:val="006317CB"/>
    <w:rsid w:val="0065527F"/>
    <w:rsid w:val="00663E30"/>
    <w:rsid w:val="006D0BB9"/>
    <w:rsid w:val="007F295F"/>
    <w:rsid w:val="008A727A"/>
    <w:rsid w:val="008A7A66"/>
    <w:rsid w:val="008D6DEA"/>
    <w:rsid w:val="00953227"/>
    <w:rsid w:val="00A712F3"/>
    <w:rsid w:val="00B253D3"/>
    <w:rsid w:val="00B66938"/>
    <w:rsid w:val="00B67979"/>
    <w:rsid w:val="00CA3657"/>
    <w:rsid w:val="00CE654F"/>
    <w:rsid w:val="00D61EF6"/>
    <w:rsid w:val="00DC1DFB"/>
    <w:rsid w:val="00E45CA2"/>
    <w:rsid w:val="00F8056A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2</cp:revision>
  <cp:lastPrinted>2022-02-10T14:17:00Z</cp:lastPrinted>
  <dcterms:created xsi:type="dcterms:W3CDTF">2023-11-22T15:57:00Z</dcterms:created>
  <dcterms:modified xsi:type="dcterms:W3CDTF">2023-11-22T15:57:00Z</dcterms:modified>
  <dc:language>it-IT</dc:language>
</cp:coreProperties>
</file>