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jpeg" ContentType="image/jpeg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ind w:left="1134" w:hanging="1134"/>
        <w:rPr>
          <w:rFonts w:ascii="Calibri Light" w:hAnsi="Calibri Light" w:eastAsia="Times New Roman"/>
          <w:b/>
          <w:b/>
          <w:color w:val="1F4D78"/>
          <w:sz w:val="30"/>
          <w:szCs w:val="30"/>
        </w:rPr>
      </w:pPr>
      <w:r>
        <w:rPr>
          <w:rFonts w:eastAsia="Times New Roman" w:ascii="Calibri Light" w:hAnsi="Calibri Light"/>
          <w:b/>
          <w:color w:val="1F4D78"/>
          <w:sz w:val="30"/>
          <w:szCs w:val="30"/>
        </w:rPr>
      </w:r>
    </w:p>
    <w:p>
      <w:pPr>
        <w:pStyle w:val="Normal"/>
        <w:spacing w:lineRule="auto" w:line="240" w:before="0" w:after="0"/>
        <w:ind w:left="1134" w:hanging="1134"/>
        <w:rPr>
          <w:rFonts w:ascii="Calibri Light" w:hAnsi="Calibri Light" w:eastAsia="Times New Roman"/>
          <w:b/>
          <w:b/>
          <w:color w:val="1F4D78"/>
          <w:sz w:val="30"/>
          <w:szCs w:val="30"/>
        </w:rPr>
      </w:pPr>
      <w:r>
        <w:rPr>
          <w:rFonts w:eastAsia="Times New Roman" w:ascii="Calibri Light" w:hAnsi="Calibri Light"/>
          <w:b/>
          <w:color w:val="1F4D78"/>
          <w:sz w:val="30"/>
          <w:szCs w:val="30"/>
        </w:rPr>
      </w:r>
    </w:p>
    <w:p>
      <w:pPr>
        <w:pStyle w:val="Normal"/>
        <w:spacing w:lineRule="auto" w:line="240" w:before="0" w:after="0"/>
        <w:ind w:left="1134" w:hanging="1134"/>
        <w:rPr>
          <w:rFonts w:ascii="Calibri Light" w:hAnsi="Calibri Light" w:eastAsia="Times New Roman"/>
          <w:b/>
          <w:b/>
          <w:color w:val="1F4D78"/>
          <w:sz w:val="30"/>
          <w:szCs w:val="30"/>
        </w:rPr>
      </w:pPr>
      <w:r>
        <w:rPr>
          <w:rFonts w:eastAsia="Times New Roman" w:ascii="Calibri Light" w:hAnsi="Calibri Light"/>
          <w:b/>
          <w:color w:val="1F4D78"/>
          <w:sz w:val="30"/>
          <w:szCs w:val="30"/>
        </w:rPr>
        <w:t xml:space="preserve">Allegato  10 Rispetto del </w:t>
      </w:r>
      <w:r>
        <w:rPr>
          <w:rFonts w:eastAsia="Times New Roman" w:ascii="Calibri Light" w:hAnsi="Calibri Light"/>
          <w:b/>
          <w:i/>
          <w:color w:val="1F4D78"/>
          <w:sz w:val="30"/>
          <w:szCs w:val="30"/>
        </w:rPr>
        <w:t>climateproofing</w:t>
      </w:r>
      <w:r>
        <w:rPr>
          <w:rFonts w:eastAsia="Times New Roman" w:ascii="Calibri Light" w:hAnsi="Calibri Light"/>
          <w:b/>
          <w:color w:val="1F4D78"/>
          <w:sz w:val="30"/>
          <w:szCs w:val="30"/>
        </w:rPr>
        <w:t xml:space="preserve"> (immunizzazione dagli effetti del clima – VERIFICA CLIMATICA)</w:t>
      </w:r>
    </w:p>
    <w:p>
      <w:pPr>
        <w:pStyle w:val="Normal"/>
        <w:spacing w:lineRule="auto" w:line="240" w:before="0" w:after="0"/>
        <w:ind w:left="1134" w:hanging="1134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tbl>
      <w:tblPr>
        <w:tblW w:w="9563" w:type="dxa"/>
        <w:jc w:val="left"/>
        <w:tblInd w:w="55" w:type="dxa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9563"/>
      </w:tblGrid>
      <w:tr>
        <w:trPr>
          <w:trHeight w:val="372" w:hRule="atLeast"/>
        </w:trPr>
        <w:tc>
          <w:tcPr>
            <w:tcW w:w="95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000000" w:fill="FBE4D5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Calibri"/>
                <w:b/>
                <w:b/>
                <w:bCs/>
                <w:i/>
                <w:i/>
                <w:iCs/>
                <w:color w:val="000000"/>
                <w:sz w:val="28"/>
                <w:szCs w:val="28"/>
                <w:lang w:eastAsia="it-IT"/>
              </w:rPr>
            </w:pPr>
            <w:r>
              <w:rPr>
                <w:rFonts w:eastAsia="Times New Roman" w:cs="Calibri"/>
                <w:b/>
                <w:bCs/>
                <w:i/>
                <w:iCs/>
                <w:color w:val="000000"/>
                <w:sz w:val="28"/>
                <w:szCs w:val="28"/>
                <w:lang w:eastAsia="it-IT"/>
              </w:rPr>
              <w:t>Relazione di verifica climatica</w:t>
            </w:r>
          </w:p>
        </w:tc>
      </w:tr>
    </w:tbl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i/>
          <w:i/>
          <w:color w:val="000000"/>
          <w:sz w:val="18"/>
          <w:szCs w:val="18"/>
          <w:lang w:eastAsia="it-IT"/>
        </w:rPr>
      </w:pPr>
      <w:r>
        <w:rPr>
          <w:rFonts w:eastAsia="Times New Roman" w:cs="Calibri"/>
          <w:i/>
          <w:color w:val="000000"/>
          <w:sz w:val="18"/>
          <w:szCs w:val="18"/>
          <w:lang w:eastAsia="it-IT"/>
        </w:rPr>
        <w:t>Con il presente Avviso,la Regione intende rispettare e conformarsi, secondo quanto previstonell’art. 73, par. 2 lett. j) del Regolamento (UE) 2021/1060, garantendo “l’immunizzazione dagli effettidel clima degli investimenti in infrastrutture la cui durata attesa è di almeno cinque anni”, cosi come indicato all’art. 3.2 dell’Avviso e riportato anche nel riportato nel Manuale per l’attuazione del PR FESR Sicilia 2021-2027, approvato con DDG 007 del 19.01.2024 del Dipartimento della Programmazione, al paragrafo 3.6.</w:t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i/>
          <w:i/>
          <w:color w:val="000000"/>
          <w:sz w:val="18"/>
          <w:szCs w:val="18"/>
          <w:lang w:eastAsia="it-IT"/>
        </w:rPr>
      </w:pPr>
      <w:r>
        <w:rPr>
          <w:rFonts w:eastAsia="Times New Roman" w:cs="Calibri"/>
          <w:i/>
          <w:color w:val="000000"/>
          <w:sz w:val="18"/>
          <w:szCs w:val="18"/>
          <w:lang w:eastAsia="it-IT"/>
        </w:rPr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i/>
          <w:i/>
          <w:color w:val="000000"/>
          <w:sz w:val="18"/>
          <w:szCs w:val="18"/>
          <w:lang w:eastAsia="it-IT"/>
        </w:rPr>
      </w:pPr>
      <w:r>
        <w:rPr>
          <w:rFonts w:eastAsia="Times New Roman" w:cs="Calibri"/>
          <w:i/>
          <w:color w:val="000000"/>
          <w:sz w:val="18"/>
          <w:szCs w:val="18"/>
          <w:lang w:eastAsia="it-IT"/>
        </w:rPr>
        <w:t xml:space="preserve">Considerato l’esito riportato nell’ALLEGATO </w:t>
      </w:r>
      <w:r>
        <w:rPr>
          <w:rFonts w:cs="Calibri"/>
          <w:i/>
          <w:spacing w:val="-3"/>
          <w:sz w:val="18"/>
          <w:szCs w:val="18"/>
        </w:rPr>
        <w:t>“</w:t>
      </w:r>
      <w:r>
        <w:rPr>
          <w:rFonts w:cs="Calibri"/>
          <w:i/>
          <w:iCs/>
          <w:spacing w:val="-3"/>
          <w:sz w:val="18"/>
          <w:szCs w:val="18"/>
        </w:rPr>
        <w:t>Relazione di approfondimento valutativo del principio DNSH</w:t>
      </w:r>
      <w:r>
        <w:rPr>
          <w:rFonts w:cs="Calibri"/>
          <w:i/>
          <w:spacing w:val="-3"/>
          <w:sz w:val="18"/>
          <w:szCs w:val="18"/>
        </w:rPr>
        <w:t xml:space="preserve">” allegato </w:t>
      </w:r>
      <w:r>
        <w:rPr>
          <w:rFonts w:eastAsia="Times New Roman" w:cs="Calibri"/>
          <w:i/>
          <w:color w:val="000000"/>
          <w:sz w:val="18"/>
          <w:szCs w:val="18"/>
          <w:lang w:eastAsia="it-IT"/>
        </w:rPr>
        <w:t>al Decreto di approvazione dell’Avviso a cura dell’UCO (e sinteticamente riportato nella tabella seguente), necessario l’impegno del beneficiario/soggetto attuatore a produrre una specifica “relazione di verifica climatica” redatta secondo la metodologia riportata negli Indirizzi nazionali e indicati dal suddetto Manuale.</w:t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i/>
          <w:i/>
          <w:color w:val="000000"/>
          <w:sz w:val="18"/>
          <w:szCs w:val="18"/>
          <w:lang w:eastAsia="it-IT"/>
        </w:rPr>
      </w:pPr>
      <w:r>
        <w:rPr>
          <w:rFonts w:eastAsia="Times New Roman" w:cs="Calibri"/>
          <w:i/>
          <w:color w:val="000000"/>
          <w:sz w:val="18"/>
          <w:szCs w:val="18"/>
          <w:lang w:eastAsia="it-IT"/>
        </w:rPr>
      </w:r>
    </w:p>
    <w:tbl>
      <w:tblPr>
        <w:tblStyle w:val="728"/>
        <w:tblW w:w="974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695"/>
        <w:gridCol w:w="8051"/>
      </w:tblGrid>
      <w:tr>
        <w:trPr/>
        <w:tc>
          <w:tcPr>
            <w:tcW w:w="1695" w:type="dxa"/>
            <w:tcBorders/>
          </w:tcPr>
          <w:p>
            <w:pPr>
              <w:pStyle w:val="Normal"/>
              <w:spacing w:lineRule="auto" w:line="240" w:before="0" w:after="0"/>
              <w:jc w:val="both"/>
              <w:rPr>
                <w:rFonts w:eastAsia="Times New Roman" w:cs="Calibri"/>
                <w:i/>
                <w:i/>
                <w:color w:val="000000"/>
                <w:sz w:val="18"/>
                <w:szCs w:val="18"/>
              </w:rPr>
            </w:pPr>
            <w:r>
              <w:rPr>
                <w:rFonts w:eastAsia="Times New Roman" w:cs="Calibri"/>
                <w:i/>
                <w:color w:val="000000"/>
                <w:sz w:val="18"/>
                <w:szCs w:val="18"/>
                <w:lang w:eastAsia="it-IT"/>
              </w:rPr>
              <w:t>Procedura di selezione</w:t>
            </w:r>
          </w:p>
        </w:tc>
        <w:tc>
          <w:tcPr>
            <w:tcW w:w="8051" w:type="dxa"/>
            <w:tcBorders/>
          </w:tcPr>
          <w:p>
            <w:pPr>
              <w:pStyle w:val="Normal"/>
              <w:tabs>
                <w:tab w:val="clear" w:pos="708"/>
                <w:tab w:val="right" w:pos="7835" w:leader="none"/>
              </w:tabs>
              <w:spacing w:lineRule="auto" w:line="240" w:before="0" w:after="160"/>
              <w:rPr>
                <w:rFonts w:cs="Calibri"/>
                <w:b/>
                <w:b/>
                <w:i/>
                <w:i/>
                <w:iCs/>
                <w:sz w:val="18"/>
                <w:szCs w:val="18"/>
              </w:rPr>
            </w:pPr>
            <w:r>
              <w:rPr>
                <w:rFonts w:eastAsia="Calibri" w:cs="Calibri"/>
                <w:iCs/>
                <w:sz w:val="18"/>
                <w:szCs w:val="18"/>
                <w:lang w:eastAsia="it-IT"/>
              </w:rPr>
              <w:t>AVVISO  Azione 4.5.1 per la  manifestazione di interesse alla  presentazione di progetti relativi a “</w:t>
            </w:r>
            <w:r>
              <w:rPr>
                <w:rFonts w:eastAsia="Calibri Light" w:cs="Calibri Light" w:ascii="Calibri Light" w:hAnsi="Calibri Light"/>
                <w:b w:val="false"/>
                <w:bCs w:val="false"/>
                <w:sz w:val="18"/>
                <w:szCs w:val="18"/>
                <w:lang w:eastAsia="it-IT"/>
              </w:rPr>
              <w:t xml:space="preserve">Favorire la riorganizzazione e qualificazione dei servizi sanitari territoriali e per il </w:t>
            </w:r>
            <w:r>
              <w:rPr>
                <w:rFonts w:eastAsia="Calibri Light" w:cs="Calibri Light" w:ascii="Calibri Light" w:hAnsi="Calibri Light"/>
                <w:b w:val="false"/>
                <w:bCs w:val="false"/>
                <w:i/>
                <w:iCs/>
                <w:sz w:val="18"/>
                <w:szCs w:val="18"/>
                <w:lang w:eastAsia="it-IT"/>
              </w:rPr>
              <w:t>long term</w:t>
            </w:r>
            <w:r>
              <w:rPr>
                <w:rFonts w:eastAsia="Calibri Light" w:cs="Calibri Light" w:ascii="Calibri Light" w:hAnsi="Calibri Light"/>
                <w:b w:val="false"/>
                <w:bCs w:val="false"/>
                <w:sz w:val="18"/>
                <w:szCs w:val="18"/>
                <w:lang w:eastAsia="it-IT"/>
              </w:rPr>
              <w:t xml:space="preserve"> care al fine di ridurre le diseguaglianze nell’accesso e i divari nel territorio</w:t>
            </w:r>
            <w:r>
              <w:rPr>
                <w:rFonts w:eastAsia="Calibri Light" w:cs="Calibri Light" w:ascii="Calibri Light" w:hAnsi="Calibri Light"/>
                <w:iCs/>
                <w:sz w:val="18"/>
                <w:szCs w:val="18"/>
                <w:lang w:eastAsia="it-IT"/>
              </w:rPr>
              <w:t>”</w:t>
            </w:r>
            <w:r>
              <w:rPr>
                <w:rFonts w:eastAsia="Calibri" w:cs="Calibri"/>
                <w:b/>
                <w:i/>
                <w:iCs/>
                <w:sz w:val="18"/>
                <w:szCs w:val="18"/>
                <w:lang w:eastAsia="it-IT"/>
              </w:rPr>
              <w:tab/>
            </w:r>
          </w:p>
        </w:tc>
      </w:tr>
      <w:tr>
        <w:trPr/>
        <w:tc>
          <w:tcPr>
            <w:tcW w:w="1695" w:type="dxa"/>
            <w:tcBorders/>
          </w:tcPr>
          <w:p>
            <w:pPr>
              <w:pStyle w:val="Normal"/>
              <w:spacing w:lineRule="auto" w:line="240" w:before="0" w:after="0"/>
              <w:jc w:val="both"/>
              <w:rPr>
                <w:rFonts w:eastAsia="Times New Roman" w:cs="Calibri"/>
                <w:i/>
                <w:i/>
                <w:color w:val="000000"/>
                <w:sz w:val="18"/>
                <w:szCs w:val="18"/>
              </w:rPr>
            </w:pPr>
            <w:r>
              <w:rPr>
                <w:rFonts w:eastAsia="Times New Roman" w:cs="Calibri"/>
                <w:i/>
                <w:color w:val="000000"/>
                <w:sz w:val="18"/>
                <w:szCs w:val="18"/>
                <w:lang w:eastAsia="it-IT"/>
              </w:rPr>
              <w:t xml:space="preserve">Campi di intervento </w:t>
            </w:r>
          </w:p>
        </w:tc>
        <w:tc>
          <w:tcPr>
            <w:tcW w:w="8051" w:type="dxa"/>
            <w:tcBorders/>
          </w:tcPr>
          <w:p>
            <w:pPr>
              <w:pStyle w:val="Normal"/>
              <w:spacing w:lineRule="auto" w:line="276"/>
              <w:jc w:val="left"/>
              <w:rPr>
                <w:rFonts w:ascii="Calibri Light" w:hAnsi="Calibri Light" w:eastAsia="Calibri Light" w:cs="Calibri Light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 Light" w:cs="Calibri Light" w:ascii="Calibri Light" w:hAnsi="Calibri Light"/>
                <w:b/>
                <w:sz w:val="20"/>
                <w:szCs w:val="20"/>
                <w:lang w:eastAsia="it-IT"/>
              </w:rPr>
              <w:t xml:space="preserve">128 </w:t>
            </w:r>
            <w:r>
              <w:rPr>
                <w:rFonts w:eastAsia="Calibri Light" w:cs="Calibri Light" w:ascii="Calibri Light" w:hAnsi="Calibri Light"/>
                <w:b w:val="false"/>
                <w:bCs w:val="false"/>
                <w:sz w:val="20"/>
                <w:szCs w:val="20"/>
                <w:lang w:eastAsia="it-IT"/>
              </w:rPr>
              <w:t>Infrastrutture per la sanità</w:t>
            </w:r>
          </w:p>
          <w:p>
            <w:pPr>
              <w:pStyle w:val="Normal"/>
              <w:spacing w:lineRule="auto" w:line="276"/>
              <w:jc w:val="left"/>
              <w:rPr>
                <w:rFonts w:ascii="Calibri Light" w:hAnsi="Calibri Light" w:eastAsia="Calibri Light" w:cs="Calibri Light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 Light" w:cs="Calibri Light" w:ascii="Calibri Light" w:hAnsi="Calibri Light"/>
                <w:b/>
                <w:bCs/>
                <w:sz w:val="20"/>
                <w:szCs w:val="20"/>
                <w:lang w:eastAsia="it-IT"/>
              </w:rPr>
              <w:t>129</w:t>
            </w:r>
            <w:r>
              <w:rPr>
                <w:rFonts w:eastAsia="Calibri Light" w:cs="Calibri Light" w:ascii="Calibri Light" w:hAnsi="Calibri Light"/>
                <w:b w:val="false"/>
                <w:bCs w:val="false"/>
                <w:sz w:val="20"/>
                <w:szCs w:val="20"/>
                <w:lang w:eastAsia="it-IT"/>
              </w:rPr>
              <w:t xml:space="preserve"> Attrezzature sanitarie</w:t>
            </w:r>
          </w:p>
          <w:p>
            <w:pPr>
              <w:pStyle w:val="Normal"/>
              <w:spacing w:lineRule="auto" w:line="276"/>
              <w:jc w:val="left"/>
              <w:rPr>
                <w:rFonts w:ascii="Calibri Light" w:hAnsi="Calibri Light" w:eastAsia="Calibri Light" w:cs="Calibri Light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 Light" w:cs="Calibri Light" w:ascii="Calibri Light" w:hAnsi="Calibri Light"/>
                <w:b/>
                <w:bCs/>
                <w:sz w:val="20"/>
                <w:szCs w:val="20"/>
                <w:lang w:eastAsia="it-IT"/>
              </w:rPr>
              <w:t>130</w:t>
            </w:r>
            <w:r>
              <w:rPr>
                <w:rFonts w:eastAsia="Calibri Light" w:cs="Calibri Light" w:ascii="Calibri Light" w:hAnsi="Calibri Light"/>
                <w:b w:val="false"/>
                <w:bCs w:val="false"/>
                <w:sz w:val="20"/>
                <w:szCs w:val="20"/>
                <w:lang w:eastAsia="it-IT"/>
              </w:rPr>
              <w:t xml:space="preserve"> Beni mobili per la salute</w:t>
            </w:r>
          </w:p>
          <w:p>
            <w:pPr>
              <w:pStyle w:val="Normal"/>
              <w:spacing w:lineRule="auto" w:line="276"/>
              <w:jc w:val="left"/>
              <w:rPr>
                <w:rFonts w:ascii="Calibri Light" w:hAnsi="Calibri Light" w:cs="Calibri Light"/>
                <w:b/>
                <w:b/>
                <w:bCs/>
                <w:sz w:val="24"/>
                <w:szCs w:val="24"/>
              </w:rPr>
            </w:pPr>
            <w:r>
              <w:rPr>
                <w:rFonts w:eastAsia="Calibri Light" w:cs="Calibri Light" w:ascii="Calibri Light" w:hAnsi="Calibri Light"/>
                <w:b/>
                <w:bCs/>
                <w:sz w:val="20"/>
                <w:szCs w:val="20"/>
                <w:lang w:eastAsia="it-IT"/>
              </w:rPr>
              <w:t xml:space="preserve">131 </w:t>
            </w:r>
            <w:r>
              <w:rPr>
                <w:rFonts w:eastAsia="Calibri Light" w:cs="Calibri Light" w:ascii="Calibri Light" w:hAnsi="Calibri Light"/>
                <w:b w:val="false"/>
                <w:bCs w:val="false"/>
                <w:sz w:val="20"/>
                <w:szCs w:val="20"/>
                <w:lang w:eastAsia="it-IT"/>
              </w:rPr>
              <w:t>Digitalizzazione delle cure sanitarie</w:t>
            </w:r>
          </w:p>
          <w:p>
            <w:pPr>
              <w:pStyle w:val="Normal"/>
              <w:spacing w:before="0" w:after="160"/>
              <w:rPr>
                <w:rFonts w:ascii="Calibri" w:hAnsi="Calibri" w:eastAsia="Calibri" w:cs="Times New Roman"/>
                <w:sz w:val="20"/>
                <w:szCs w:val="20"/>
                <w:lang w:eastAsia="it-IT"/>
              </w:rPr>
            </w:pPr>
            <w:r>
              <w:rPr>
                <w:rFonts w:eastAsia="Calibri" w:cs="Times New Roman"/>
                <w:sz w:val="20"/>
                <w:szCs w:val="20"/>
                <w:lang w:eastAsia="it-IT"/>
              </w:rPr>
            </w:r>
          </w:p>
        </w:tc>
      </w:tr>
      <w:tr>
        <w:trPr/>
        <w:tc>
          <w:tcPr>
            <w:tcW w:w="1695" w:type="dxa"/>
            <w:tcBorders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Calibri"/>
                <w:b/>
                <w:b/>
                <w:i/>
                <w:i/>
                <w:color w:val="000000"/>
                <w:sz w:val="18"/>
                <w:szCs w:val="18"/>
              </w:rPr>
            </w:pPr>
            <w:r>
              <w:rPr>
                <w:rFonts w:eastAsia="Calibri" w:cs="Times New Roman"/>
                <w:b/>
                <w:sz w:val="18"/>
                <w:szCs w:val="18"/>
                <w:lang w:eastAsia="it-IT"/>
              </w:rPr>
              <w:t>Verifica climatica richiesta</w:t>
            </w:r>
          </w:p>
        </w:tc>
        <w:tc>
          <w:tcPr>
            <w:tcW w:w="8051" w:type="dxa"/>
            <w:tcBorders/>
          </w:tcPr>
          <w:p>
            <w:pPr>
              <w:pStyle w:val="Normal"/>
              <w:spacing w:lineRule="auto" w:line="240" w:before="0" w:after="0"/>
              <w:jc w:val="both"/>
              <w:rPr>
                <w:rFonts w:eastAsia="Times New Roman" w:cs="Calibri"/>
                <w:b/>
                <w:b/>
                <w:i/>
                <w:i/>
                <w:color w:val="000000"/>
                <w:sz w:val="18"/>
                <w:szCs w:val="18"/>
              </w:rPr>
            </w:pPr>
            <w:r>
              <w:rPr>
                <w:rFonts w:eastAsia="Calibri" w:cs="Times New Roman"/>
                <w:b/>
                <w:sz w:val="18"/>
                <w:szCs w:val="18"/>
                <w:lang w:eastAsia="it-IT"/>
              </w:rPr>
              <w:t xml:space="preserve">Resilienza climatica/adattamento, da effettuarsi solo se il progetto prevede: 1) costruzione edifici nuovi; 2) </w:t>
            </w:r>
            <w:r>
              <w:rPr>
                <w:rFonts w:eastAsia="Calibri" w:cs="Times New Roman"/>
                <w:b/>
                <w:sz w:val="18"/>
                <w:szCs w:val="18"/>
                <w:u w:val="single"/>
                <w:lang w:eastAsia="it-IT"/>
              </w:rPr>
              <w:t>ristrutturazione importante di edifici esistenti</w:t>
            </w:r>
            <w:r>
              <w:rPr>
                <w:rFonts w:eastAsia="Calibri" w:cs="Times New Roman"/>
                <w:b/>
                <w:sz w:val="18"/>
                <w:szCs w:val="18"/>
                <w:u w:val="single"/>
                <w:vertAlign w:val="superscript"/>
                <w:lang w:eastAsia="it-IT"/>
              </w:rPr>
              <w:t>1</w:t>
            </w:r>
            <w:r>
              <w:rPr>
                <w:rFonts w:eastAsia="Calibri" w:cs="Times New Roman"/>
                <w:b/>
                <w:sz w:val="18"/>
                <w:szCs w:val="18"/>
                <w:lang w:eastAsia="it-IT"/>
              </w:rPr>
              <w:t>.</w:t>
            </w:r>
          </w:p>
        </w:tc>
      </w:tr>
    </w:tbl>
    <w:p>
      <w:pPr>
        <w:pStyle w:val="Normal"/>
        <w:spacing w:lineRule="auto" w:line="240" w:before="0" w:after="0"/>
        <w:jc w:val="both"/>
        <w:rPr>
          <w:rFonts w:eastAsia="Times New Roman" w:cs="Calibri"/>
          <w:i/>
          <w:i/>
          <w:color w:val="000000"/>
          <w:sz w:val="16"/>
          <w:szCs w:val="16"/>
          <w:lang w:eastAsia="it-IT"/>
        </w:rPr>
      </w:pPr>
      <w:r>
        <w:rPr>
          <w:i/>
          <w:sz w:val="16"/>
          <w:szCs w:val="16"/>
          <w:vertAlign w:val="superscript"/>
        </w:rPr>
        <w:t>1</w:t>
      </w:r>
      <w:r>
        <w:rPr>
          <w:i/>
          <w:sz w:val="16"/>
          <w:szCs w:val="16"/>
        </w:rPr>
        <w:t>Ai sensi dell’Art. 2 comma 1-vicies quater) del Decreto Legislativo 19 agosto 2005, n. 192, un edificio esistente è sottoposto a ristrutturazione importante quando i lavori in qualunque modo denominati (a titolo indicativo e non esaustivo: manutenzione ordinaria o straordinaria, ristrutturazione e risanamento conservativo) insistono su oltre il 25 per cento della superficie dell'involucro dell'intero edificio, comprensivo di tutte le unità immobiliari che lo costituiscono e consistono, a titolo esemplificativo e non esaustivo, rifacimento di pareti esterne, di intonaci esterni, del tetto o dell'impermeabilizzazione delle coperture.</w:t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color w:val="000000"/>
          <w:lang w:eastAsia="it-IT"/>
        </w:rPr>
      </w:pPr>
      <w:r>
        <w:rPr>
          <w:rFonts w:eastAsia="Times New Roman" w:cs="Calibri"/>
          <w:color w:val="000000"/>
          <w:lang w:eastAsia="it-IT"/>
        </w:rPr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color w:val="000000"/>
          <w:lang w:eastAsia="it-IT"/>
        </w:rPr>
      </w:pPr>
      <w:r>
        <w:rPr>
          <w:rFonts w:eastAsia="Times New Roman" w:cs="Calibri"/>
          <w:color w:val="000000"/>
          <w:lang w:eastAsia="it-IT"/>
        </w:rPr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color w:val="000000"/>
          <w:lang w:eastAsia="it-IT"/>
        </w:rPr>
      </w:pPr>
      <w:r>
        <w:rPr>
          <w:rFonts w:eastAsia="Times New Roman" w:cs="Calibri"/>
          <w:color w:val="000000"/>
          <w:lang w:eastAsia="it-I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31" w:color="000000"/>
          <w:right w:val="single" w:sz="4" w:space="0" w:color="000000"/>
        </w:pBdr>
        <w:spacing w:lineRule="auto" w:line="240" w:before="0" w:after="0"/>
        <w:jc w:val="both"/>
        <w:rPr>
          <w:rFonts w:eastAsia="Times New Roman" w:cs="Calibri"/>
          <w:i/>
          <w:i/>
          <w:color w:val="000000"/>
          <w:lang w:eastAsia="it-IT"/>
        </w:rPr>
      </w:pPr>
      <w:r>
        <w:rPr>
          <w:rFonts w:eastAsia="Times New Roman" w:cs="Calibri"/>
          <w:i/>
          <w:color w:val="000000"/>
          <w:lang w:eastAsia="it-IT"/>
        </w:rPr>
        <w:t xml:space="preserve">Testo della relazione di verifica climatica </w:t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color w:val="000000"/>
          <w:lang w:eastAsia="it-IT"/>
        </w:rPr>
      </w:pPr>
      <w:r>
        <w:rPr>
          <w:rFonts w:eastAsia="Times New Roman" w:cs="Calibri"/>
          <w:color w:val="000000"/>
          <w:lang w:eastAsia="it-IT"/>
        </w:rPr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color w:val="000000"/>
          <w:lang w:eastAsia="it-IT"/>
        </w:rPr>
      </w:pPr>
      <w:r>
        <w:rPr>
          <w:rFonts w:eastAsia="Times New Roman" w:cs="Calibri"/>
          <w:color w:val="000000"/>
          <w:lang w:eastAsia="it-IT"/>
        </w:rPr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b/>
          <w:b/>
          <w:color w:val="000000"/>
          <w:sz w:val="20"/>
          <w:szCs w:val="20"/>
          <w:lang w:eastAsia="it-IT"/>
        </w:rPr>
      </w:pPr>
      <w:r>
        <w:rPr>
          <w:rFonts w:eastAsia="Times New Roman" w:cs="Calibri"/>
          <w:b/>
          <w:color w:val="000000"/>
          <w:sz w:val="20"/>
          <w:szCs w:val="20"/>
          <w:lang w:eastAsia="it-IT"/>
        </w:rPr>
        <w:t>La verifica climatica dell’infrastruttura oggetto della proposta progettuale sopra riportata, laddove richiesta, deve essere effettuata e firmata digitalmente da un tecnico abilitato ovvero iscritto all’Albo professionale di riferimento rationae materie.</w:t>
      </w:r>
    </w:p>
    <w:p>
      <w:pPr>
        <w:pStyle w:val="Normal"/>
        <w:widowControl/>
        <w:bidi w:val="0"/>
        <w:spacing w:lineRule="auto" w:line="259" w:beforeAutospacing="0" w:before="0" w:afterAutospacing="0" w:after="160"/>
        <w:jc w:val="left"/>
        <w:rPr/>
      </w:pPr>
      <w:r>
        <w:rPr/>
      </w:r>
    </w:p>
    <w:sectPr>
      <w:headerReference w:type="default" r:id="rId2"/>
      <w:headerReference w:type="first" r:id="rId3"/>
      <w:footerReference w:type="default" r:id="rId4"/>
      <w:footerReference w:type="first" r:id="rId5"/>
      <w:type w:val="nextPage"/>
      <w:pgSz w:orient="landscape" w:w="11906" w:h="16838"/>
      <w:pgMar w:left="1134" w:right="1134" w:header="708" w:top="1417" w:footer="708" w:bottom="1134" w:gutter="0"/>
      <w:pgNumType w:fmt="decimal"/>
      <w:formProt w:val="false"/>
      <w:titlePg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libri Light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2">
          <wp:simplePos x="0" y="0"/>
          <wp:positionH relativeFrom="page">
            <wp:posOffset>771525</wp:posOffset>
          </wp:positionH>
          <wp:positionV relativeFrom="page">
            <wp:posOffset>466725</wp:posOffset>
          </wp:positionV>
          <wp:extent cx="6133465" cy="447675"/>
          <wp:effectExtent l="0" t="0" r="0" b="0"/>
          <wp:wrapNone/>
          <wp:docPr id="1" name="image1.jpe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33465" cy="447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283"/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link w:val="14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Titolo2">
    <w:name w:val="Heading 2"/>
    <w:basedOn w:val="Normal"/>
    <w:link w:val="16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Titolo3">
    <w:name w:val="Heading 3"/>
    <w:basedOn w:val="Normal"/>
    <w:link w:val="18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Titolo4">
    <w:name w:val="Heading 4"/>
    <w:basedOn w:val="Normal"/>
    <w:link w:val="20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Titolo5">
    <w:name w:val="Heading 5"/>
    <w:basedOn w:val="Normal"/>
    <w:link w:val="22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itolo6">
    <w:name w:val="Heading 6"/>
    <w:basedOn w:val="Normal"/>
    <w:link w:val="24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itolo7">
    <w:name w:val="Heading 7"/>
    <w:basedOn w:val="Normal"/>
    <w:link w:val="26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itolo8">
    <w:name w:val="Heading 8"/>
    <w:basedOn w:val="Normal"/>
    <w:link w:val="28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itolo9">
    <w:name w:val="Heading 9"/>
    <w:basedOn w:val="Normal"/>
    <w:link w:val="30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13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15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17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19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21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23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25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27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29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34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36"/>
    <w:uiPriority w:val="11"/>
    <w:qFormat/>
    <w:rPr>
      <w:sz w:val="24"/>
      <w:szCs w:val="24"/>
    </w:rPr>
  </w:style>
  <w:style w:type="character" w:styleId="QuoteChar">
    <w:name w:val="Quote Char"/>
    <w:link w:val="38"/>
    <w:uiPriority w:val="29"/>
    <w:qFormat/>
    <w:rPr>
      <w:i/>
    </w:rPr>
  </w:style>
  <w:style w:type="character" w:styleId="IntenseQuoteChar">
    <w:name w:val="Intense Quote Char"/>
    <w:link w:val="40"/>
    <w:uiPriority w:val="30"/>
    <w:qFormat/>
    <w:rPr>
      <w:i/>
    </w:rPr>
  </w:style>
  <w:style w:type="character" w:styleId="HeaderChar">
    <w:name w:val="Header Char"/>
    <w:basedOn w:val="DefaultParagraphFont"/>
    <w:link w:val="729"/>
    <w:uiPriority w:val="99"/>
    <w:qFormat/>
    <w:rPr/>
  </w:style>
  <w:style w:type="character" w:styleId="FooterChar">
    <w:name w:val="Footer Char"/>
    <w:basedOn w:val="DefaultParagraphFont"/>
    <w:link w:val="731"/>
    <w:uiPriority w:val="99"/>
    <w:qFormat/>
    <w:rPr/>
  </w:style>
  <w:style w:type="character" w:styleId="CaptionChar">
    <w:name w:val="Caption Char"/>
    <w:link w:val="731"/>
    <w:uiPriority w:val="99"/>
    <w:qFormat/>
    <w:rPr/>
  </w:style>
  <w:style w:type="character" w:styleId="CollegamentoInternet">
    <w:name w:val="Collegamento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175"/>
    <w:uiPriority w:val="99"/>
    <w:qFormat/>
    <w:rPr>
      <w:sz w:val="18"/>
    </w:rPr>
  </w:style>
  <w:style w:type="character" w:styleId="Richiamoallanotaapidipagina">
    <w:name w:val="Richiamo alla nota a piè di pagina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178"/>
    <w:uiPriority w:val="99"/>
    <w:qFormat/>
    <w:rPr>
      <w:sz w:val="20"/>
    </w:rPr>
  </w:style>
  <w:style w:type="character" w:styleId="Richiamoallanotadichiusura">
    <w:name w:val="Richiamo alla nota di chiusura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stazioneCarattere" w:customStyle="1">
    <w:name w:val="Intestazione Carattere"/>
    <w:basedOn w:val="DefaultParagraphFont"/>
    <w:link w:val="729"/>
    <w:uiPriority w:val="99"/>
    <w:semiHidden/>
    <w:qFormat/>
    <w:rPr>
      <w:rFonts w:ascii="Calibri" w:hAnsi="Calibri" w:eastAsia="Calibri" w:cs="Times New Roman"/>
    </w:rPr>
  </w:style>
  <w:style w:type="character" w:styleId="PidipaginaCarattere" w:customStyle="1">
    <w:name w:val="Piè di pagina Carattere"/>
    <w:basedOn w:val="DefaultParagraphFont"/>
    <w:link w:val="731"/>
    <w:uiPriority w:val="99"/>
    <w:semiHidden/>
    <w:qFormat/>
    <w:rPr>
      <w:rFonts w:ascii="Calibri" w:hAnsi="Calibri" w:eastAsia="Calibri" w:cs="Times New Roma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ListParagraph">
    <w:name w:val="List Paragraph"/>
    <w:basedOn w:val="Normal"/>
    <w:uiPriority w:val="34"/>
    <w:qFormat/>
    <w:pPr>
      <w:spacing w:before="0" w:after="200"/>
      <w:ind w:left="720" w:hanging="0"/>
      <w:contextualSpacing/>
    </w:pPr>
    <w:rPr/>
  </w:style>
  <w:style w:type="paragraph" w:styleId="NoSpacing">
    <w:name w:val="No Spacing"/>
    <w:uiPriority w:val="1"/>
    <w:qFormat/>
    <w:pPr>
      <w:widowControl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principale">
    <w:name w:val="Title"/>
    <w:basedOn w:val="Normal"/>
    <w:link w:val="35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ottotitolo">
    <w:name w:val="Subtitle"/>
    <w:basedOn w:val="Normal"/>
    <w:link w:val="37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39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41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200"/>
      <w:ind w:left="720" w:right="720" w:hanging="0"/>
    </w:pPr>
    <w:rPr>
      <w:i/>
    </w:rPr>
  </w:style>
  <w:style w:type="paragraph" w:styleId="Notaapidipagina">
    <w:name w:val="Footnote Text"/>
    <w:basedOn w:val="Normal"/>
    <w:link w:val="176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ichiusura">
    <w:name w:val="Endnote Text"/>
    <w:basedOn w:val="Normal"/>
    <w:link w:val="179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Indice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Indice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Indice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Indice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Indice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Indice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Indice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Indice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Indice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730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732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LibreOffice/6.4.3.2$Windows_X86_64 LibreOffice_project/747b5d0ebf89f41c860ec2a39efd7cb15b54f2d8</Application>
  <Pages>1</Pages>
  <Words>350</Words>
  <Characters>2326</Characters>
  <CharactersWithSpaces>2668</CharactersWithSpaces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2024-08-01T09:16:00Z</dcterms:created>
  <dc:creator>michela.bellomo</dc:creator>
  <dc:description/>
  <dc:language>it-IT</dc:language>
  <cp:lastModifiedBy/>
  <dcterms:modified xsi:type="dcterms:W3CDTF">2024-10-16T14:22:20Z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