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olo3"/>
        <w:spacing w:lineRule="auto" w:line="240" w:before="0" w:after="0"/>
        <w:rPr>
          <w:b/>
          <w:b/>
          <w:bCs/>
          <w:sz w:val="22"/>
          <w:szCs w:val="22"/>
        </w:rPr>
      </w:pPr>
      <w:r>
        <w:rPr>
          <w:b/>
          <w:bCs/>
          <w:sz w:val="22"/>
          <w:szCs w:val="22"/>
        </w:rPr>
      </w:r>
    </w:p>
    <w:p>
      <w:pPr>
        <w:pStyle w:val="Titolo3"/>
        <w:spacing w:lineRule="auto" w:line="240" w:before="0" w:after="0"/>
        <w:rPr>
          <w:b/>
          <w:b/>
          <w:bCs/>
          <w:sz w:val="22"/>
          <w:szCs w:val="22"/>
        </w:rPr>
      </w:pPr>
      <w:r>
        <w:rPr>
          <w:b/>
          <w:bCs/>
          <w:sz w:val="22"/>
          <w:szCs w:val="22"/>
        </w:rPr>
      </w:r>
    </w:p>
    <w:p>
      <w:pPr>
        <w:pStyle w:val="Titolo3"/>
        <w:spacing w:lineRule="auto" w:line="240" w:before="0" w:after="0"/>
        <w:rPr>
          <w:b/>
          <w:b/>
          <w:sz w:val="22"/>
          <w:szCs w:val="22"/>
        </w:rPr>
      </w:pPr>
      <w:r>
        <w:rPr>
          <w:b/>
          <w:sz w:val="22"/>
          <w:szCs w:val="22"/>
        </w:rPr>
      </w:r>
    </w:p>
    <w:p>
      <w:pPr>
        <w:pStyle w:val="Normal"/>
        <w:spacing w:lineRule="auto" w:line="240" w:before="0" w:after="0"/>
        <w:jc w:val="center"/>
        <w:rPr>
          <w:b/>
          <w:b/>
        </w:rPr>
      </w:pPr>
      <w:r>
        <w:rPr>
          <w:b/>
        </w:rPr>
      </w:r>
    </w:p>
    <w:p>
      <w:pPr>
        <w:pStyle w:val="Titolo3"/>
        <w:spacing w:lineRule="auto" w:line="240" w:before="0" w:after="0"/>
        <w:rPr>
          <w:rFonts w:ascii="Times New Roman" w:hAnsi="Times New Roman"/>
          <w:b/>
          <w:b/>
          <w:sz w:val="22"/>
          <w:szCs w:val="22"/>
        </w:rPr>
      </w:pPr>
      <w:r>
        <w:rPr>
          <w:rFonts w:ascii="Times New Roman" w:hAnsi="Times New Roman"/>
          <w:b/>
          <w:sz w:val="22"/>
          <w:szCs w:val="22"/>
        </w:rPr>
        <w:t>Allegato 2 - Schema tipo di Disciplinare di finanziamento fra Regione e beneficiari di operazioni relative alla realizzazione di OOPP, all’acquisizione di servizi e all’acquisizione di forniture</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PROGRAMMA REGIONALE FESR SICILIA 2021-2027</w:t>
      </w:r>
    </w:p>
    <w:p>
      <w:pPr>
        <w:pStyle w:val="Normal"/>
        <w:spacing w:lineRule="auto" w:line="240" w:before="0" w:after="0"/>
        <w:jc w:val="center"/>
        <w:rPr>
          <w:rFonts w:ascii="Times New Roman" w:hAnsi="Times New Roman"/>
          <w:b/>
          <w:b/>
        </w:rPr>
      </w:pPr>
      <w:r>
        <w:rPr>
          <w:rFonts w:ascii="Times New Roman" w:hAnsi="Times New Roman"/>
          <w:b/>
        </w:rPr>
        <w:t xml:space="preserve">OBIETTIVO SPECIFICO 4.5 </w:t>
      </w:r>
    </w:p>
    <w:p>
      <w:pPr>
        <w:pStyle w:val="Normal"/>
        <w:spacing w:lineRule="auto" w:line="240" w:before="0" w:after="0"/>
        <w:jc w:val="center"/>
        <w:rPr>
          <w:rFonts w:ascii="Times New Roman" w:hAnsi="Times New Roman"/>
          <w:b/>
          <w:b/>
        </w:rPr>
      </w:pPr>
      <w:r>
        <w:rPr>
          <w:rFonts w:ascii="Times New Roman" w:hAnsi="Times New Roman"/>
          <w:b/>
        </w:rPr>
        <w:t>AZIONE 4.5.2</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DISCIPLINARE REGOLANTE I RAPPORTI</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TRA</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LA REGIONE SICILIANA</w:t>
      </w:r>
    </w:p>
    <w:p>
      <w:pPr>
        <w:pStyle w:val="Normal"/>
        <w:spacing w:lineRule="auto" w:line="240" w:before="0" w:after="0"/>
        <w:jc w:val="center"/>
        <w:rPr>
          <w:rFonts w:ascii="Times New Roman" w:hAnsi="Times New Roman"/>
          <w:b/>
          <w:b/>
        </w:rPr>
      </w:pPr>
      <w:r>
        <w:rPr>
          <w:rFonts w:ascii="Times New Roman" w:hAnsi="Times New Roman"/>
          <w:b/>
        </w:rPr>
        <w:t>DIPARTIMENTO PIANIFICAZIONE STRATEGICA</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E</w:t>
      </w:r>
    </w:p>
    <w:p>
      <w:pPr>
        <w:pStyle w:val="Normal"/>
        <w:spacing w:lineRule="auto" w:line="240" w:before="0" w:after="0"/>
        <w:jc w:val="center"/>
        <w:rPr>
          <w:rFonts w:ascii="Times New Roman" w:hAnsi="Times New Roman"/>
          <w:b/>
          <w:b/>
        </w:rPr>
      </w:pPr>
      <w:r>
        <w:rPr>
          <w:rFonts w:ascii="Times New Roman" w:hAnsi="Times New Roman"/>
          <w:b/>
        </w:rPr>
        <w:t>……………………………………</w:t>
      </w:r>
      <w:r>
        <w:rPr>
          <w:rFonts w:ascii="Times New Roman" w:hAnsi="Times New Roman"/>
          <w:b/>
        </w:rPr>
        <w:t>..</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t>PER LA REALIZZAZIONE DELL’OPERAZIONE DI CUI ALL’ALLEGATO</w:t>
      </w:r>
    </w:p>
    <w:p>
      <w:pPr>
        <w:pStyle w:val="Normal"/>
        <w:spacing w:lineRule="auto" w:line="240" w:before="0" w:after="0"/>
        <w:jc w:val="center"/>
        <w:rPr>
          <w:rFonts w:ascii="Times New Roman" w:hAnsi="Times New Roman"/>
          <w:b/>
          <w:b/>
          <w:i/>
          <w:i/>
        </w:rPr>
      </w:pPr>
      <w:r>
        <w:rPr>
          <w:rFonts w:ascii="Times New Roman" w:hAnsi="Times New Roman"/>
          <w:b/>
          <w:i/>
        </w:rPr>
        <w:t>ai sensi dell’art.73, paragrafo 3, del Reg.(UE) 2021/1060</w:t>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rFonts w:ascii="Times New Roman" w:hAnsi="Times New Roman"/>
          <w:b/>
          <w:b/>
        </w:rPr>
      </w:pPr>
      <w:r>
        <w:rPr>
          <w:rFonts w:ascii="Times New Roman" w:hAnsi="Times New Roman"/>
          <w:b/>
        </w:rPr>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jc w:val="center"/>
        <w:rPr>
          <w:b/>
          <w:b/>
        </w:rPr>
      </w:pPr>
      <w:r>
        <w:rPr>
          <w:b/>
        </w:rPr>
        <w:t>PROGRAMMA REGIONALE FESR SICILIA 2021-2027</w:t>
      </w:r>
    </w:p>
    <w:p>
      <w:pPr>
        <w:pStyle w:val="Normal"/>
        <w:spacing w:lineRule="auto" w:line="240" w:before="0" w:after="0"/>
        <w:jc w:val="center"/>
        <w:rPr>
          <w:b/>
          <w:b/>
        </w:rPr>
      </w:pPr>
      <w:r>
        <w:rPr>
          <w:b/>
        </w:rPr>
        <w:t xml:space="preserve">OBIETTIVO SPECIFICO RSO4.5 </w:t>
      </w:r>
    </w:p>
    <w:p>
      <w:pPr>
        <w:pStyle w:val="Normal"/>
        <w:spacing w:lineRule="auto" w:line="240" w:before="0" w:after="0"/>
        <w:jc w:val="center"/>
        <w:rPr>
          <w:b/>
          <w:b/>
        </w:rPr>
      </w:pPr>
      <w:r>
        <w:rPr>
          <w:b/>
        </w:rPr>
        <w:t>AZIONE 4.5.2</w:t>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jc w:val="center"/>
        <w:rPr>
          <w:b/>
          <w:b/>
        </w:rPr>
      </w:pPr>
      <w:r>
        <w:rPr>
          <w:b/>
        </w:rPr>
        <w:t>DISCIPLINARE REGOLANTE I RAPPORTI</w:t>
      </w:r>
    </w:p>
    <w:p>
      <w:pPr>
        <w:pStyle w:val="Normal"/>
        <w:spacing w:lineRule="auto" w:line="240" w:before="0" w:after="0"/>
        <w:jc w:val="center"/>
        <w:rPr>
          <w:b/>
          <w:b/>
        </w:rPr>
      </w:pPr>
      <w:r>
        <w:rPr>
          <w:b/>
        </w:rPr>
      </w:r>
    </w:p>
    <w:p>
      <w:pPr>
        <w:pStyle w:val="Normal"/>
        <w:spacing w:lineRule="auto" w:line="240" w:before="0" w:after="0"/>
        <w:jc w:val="center"/>
        <w:rPr>
          <w:b/>
          <w:b/>
        </w:rPr>
      </w:pPr>
      <w:r>
        <w:rPr>
          <w:b/>
        </w:rPr>
        <w:t>TRA</w:t>
      </w:r>
    </w:p>
    <w:p>
      <w:pPr>
        <w:pStyle w:val="Normal"/>
        <w:spacing w:lineRule="auto" w:line="240" w:before="0" w:after="0"/>
        <w:jc w:val="center"/>
        <w:rPr>
          <w:b/>
          <w:b/>
        </w:rPr>
      </w:pPr>
      <w:r>
        <w:rPr>
          <w:b/>
        </w:rPr>
      </w:r>
    </w:p>
    <w:p>
      <w:pPr>
        <w:pStyle w:val="Normal"/>
        <w:spacing w:lineRule="auto" w:line="240" w:before="0" w:after="0"/>
        <w:jc w:val="center"/>
        <w:rPr>
          <w:b/>
          <w:b/>
        </w:rPr>
      </w:pPr>
      <w:r>
        <w:rPr>
          <w:b/>
        </w:rPr>
        <w:t>LA REGIONE SICILIANA</w:t>
      </w:r>
    </w:p>
    <w:p>
      <w:pPr>
        <w:pStyle w:val="Normal"/>
        <w:spacing w:lineRule="auto" w:line="240" w:before="0" w:after="0"/>
        <w:jc w:val="center"/>
        <w:rPr>
          <w:b/>
          <w:b/>
        </w:rPr>
      </w:pPr>
      <w:r>
        <w:rPr>
          <w:b/>
        </w:rPr>
        <w:t>DIPARTIMENTO PIANIFICAZIONE STRATEGICA</w:t>
      </w:r>
    </w:p>
    <w:p>
      <w:pPr>
        <w:pStyle w:val="Normal"/>
        <w:spacing w:lineRule="auto" w:line="240" w:before="0" w:after="0"/>
        <w:jc w:val="center"/>
        <w:rPr>
          <w:b/>
          <w:b/>
        </w:rPr>
      </w:pPr>
      <w:r>
        <w:rPr>
          <w:b/>
        </w:rPr>
        <w:t>E</w:t>
      </w:r>
    </w:p>
    <w:p>
      <w:pPr>
        <w:pStyle w:val="Normal"/>
        <w:spacing w:lineRule="auto" w:line="240" w:before="0" w:after="0"/>
        <w:jc w:val="center"/>
        <w:rPr>
          <w:b/>
          <w:b/>
        </w:rPr>
      </w:pPr>
      <w:r>
        <w:rPr>
          <w:b/>
        </w:rPr>
        <w:t>……………………………………</w:t>
      </w:r>
      <w:r>
        <w:rPr>
          <w:b/>
        </w:rPr>
        <w:t>..</w:t>
      </w:r>
    </w:p>
    <w:p>
      <w:pPr>
        <w:pStyle w:val="Normal"/>
        <w:spacing w:lineRule="auto" w:line="240" w:before="0" w:after="0"/>
        <w:jc w:val="center"/>
        <w:rPr>
          <w:b/>
          <w:b/>
        </w:rPr>
      </w:pPr>
      <w:r>
        <w:rPr>
          <w:b/>
        </w:rPr>
      </w:r>
    </w:p>
    <w:p>
      <w:pPr>
        <w:pStyle w:val="Normal"/>
        <w:spacing w:lineRule="auto" w:line="240" w:before="0" w:after="0"/>
        <w:jc w:val="center"/>
        <w:rPr>
          <w:b/>
          <w:b/>
        </w:rPr>
      </w:pPr>
      <w:r>
        <w:rPr>
          <w:b/>
        </w:rPr>
        <w:t>PER LA REALIZZAZIONE DELL’OPERAZIONE DI CUI ALL’ALLEGATO</w:t>
      </w:r>
    </w:p>
    <w:p>
      <w:pPr>
        <w:pStyle w:val="Normal"/>
        <w:spacing w:lineRule="auto" w:line="240" w:before="0" w:after="0"/>
        <w:jc w:val="center"/>
        <w:rPr>
          <w:b/>
          <w:b/>
          <w:i/>
          <w:i/>
        </w:rPr>
      </w:pPr>
      <w:r>
        <w:rPr>
          <w:b/>
          <w:i/>
        </w:rPr>
        <w:t>ai sensi dell’art.73, paragrafo 3, del Reg.(UE) 2021/1060</w:t>
      </w:r>
    </w:p>
    <w:p>
      <w:pPr>
        <w:pStyle w:val="Normal"/>
        <w:spacing w:lineRule="auto" w:line="240" w:before="0" w:after="0"/>
        <w:jc w:val="center"/>
        <w:rPr>
          <w:b/>
          <w:b/>
        </w:rPr>
      </w:pPr>
      <w:r>
        <w:rPr>
          <w:b/>
        </w:rPr>
      </w:r>
    </w:p>
    <w:p>
      <w:pPr>
        <w:pStyle w:val="Normal"/>
        <w:spacing w:lineRule="auto" w:line="240" w:before="0" w:after="0"/>
        <w:jc w:val="center"/>
        <w:rPr>
          <w:b/>
          <w:b/>
        </w:rPr>
      </w:pPr>
      <w:r>
        <w:rPr>
          <w:b/>
        </w:rPr>
      </w:r>
    </w:p>
    <w:p>
      <w:pPr>
        <w:pStyle w:val="Normal"/>
        <w:spacing w:lineRule="auto" w:line="240" w:before="0" w:after="0"/>
        <w:rPr>
          <w:color w:val="000000"/>
        </w:rPr>
      </w:pPr>
      <w:r>
        <w:rPr>
          <w:color w:val="000000"/>
        </w:rPr>
      </w:r>
      <w:r>
        <w:br w:type="page"/>
      </w:r>
    </w:p>
    <w:p>
      <w:pPr>
        <w:pStyle w:val="Normal"/>
        <w:widowControl w:val="false"/>
        <w:spacing w:lineRule="auto" w:line="240" w:before="0" w:after="0"/>
        <w:rPr>
          <w:color w:val="000000"/>
        </w:rPr>
      </w:pPr>
      <w:r>
        <w:rPr>
          <w:color w:val="000000"/>
        </w:rPr>
      </w:r>
    </w:p>
    <w:p>
      <w:pPr>
        <w:pStyle w:val="Normal"/>
        <w:spacing w:lineRule="auto" w:line="240" w:before="0" w:after="0"/>
        <w:jc w:val="center"/>
        <w:rPr>
          <w:b/>
          <w:b/>
        </w:rPr>
      </w:pPr>
      <w:r>
        <w:rPr>
          <w:b/>
        </w:rPr>
      </w:r>
    </w:p>
    <w:p>
      <w:pPr>
        <w:pStyle w:val="Normal"/>
        <w:widowControl w:val="false"/>
        <w:spacing w:lineRule="auto" w:line="240" w:before="0" w:after="0"/>
        <w:rPr>
          <w:rFonts w:ascii="Times New Roman" w:hAnsi="Times New Roman"/>
          <w:color w:val="000000"/>
        </w:rPr>
      </w:pPr>
      <w:r>
        <w:rPr>
          <w:rFonts w:ascii="Times New Roman" w:hAnsi="Times New Roman"/>
          <w:color w:val="000000"/>
        </w:rPr>
      </w:r>
    </w:p>
    <w:p>
      <w:pPr>
        <w:pStyle w:val="Normal"/>
        <w:spacing w:lineRule="auto" w:line="240" w:before="0" w:after="0"/>
        <w:jc w:val="center"/>
        <w:rPr>
          <w:rFonts w:ascii="Times New Roman" w:hAnsi="Times New Roman"/>
          <w:b/>
          <w:b/>
          <w:color w:val="000000"/>
        </w:rPr>
      </w:pPr>
      <w:r>
        <w:rPr>
          <w:rFonts w:ascii="Times New Roman" w:hAnsi="Times New Roman"/>
          <w:b/>
        </w:rPr>
        <w:t>VISTI</w:t>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rStyle w:val="Eop"/>
          <w:sz w:val="22"/>
          <w:szCs w:val="22"/>
        </w:rPr>
        <w:t> </w:t>
      </w:r>
      <w:r>
        <w:rPr>
          <w:color w:val="000000"/>
          <w:sz w:val="22"/>
          <w:szCs w:val="22"/>
        </w:rPr>
        <w:t>Regolamento (UE) 2021/1060 del Parlamento europeo e del Consiglio, del 24 giugno 2021, recante le disposizioni comuni applicabili al Fondo europeo di sviluppo regionale, al Fondo sociale europeo Plus, al Fondo di coesione, al Fondo per una transizione giusta, al Fondo europeo per gli affari marittimi, la pesca e l’acquacoltura, e le regole finanziarie applicabili a tali fondi e al Fondo Asilo, migrazione e integrazione, al Fondo Sicurezza interna e allo Strumento di sostegno finanziario per la gestione delle frontiere e la politica dei visti </w:t>
      </w:r>
      <w:r>
        <w:rPr>
          <w:sz w:val="22"/>
          <w:szCs w:val="22"/>
        </w:rPr>
        <w:tab/>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Regolamento (UE) 2021/1058 del Parlamento europeo e del Consiglio, del 24 giugno 2021, relativo al Fondo europeo di sviluppo regionale e al Fondo di coesione </w:t>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color w:val="000000"/>
          <w:sz w:val="22"/>
          <w:szCs w:val="22"/>
        </w:rPr>
        <w:t>Regolamento (UE) 2021/1056 del Parlamento europeo e del Consiglio, del 24 giugno 2021, che istituisce il Fondo per una transizione giusta </w:t>
      </w:r>
      <w:r>
        <w:rPr>
          <w:sz w:val="22"/>
          <w:szCs w:val="22"/>
        </w:rPr>
        <w:tab/>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Regolamento (UE) 2021/1057 del Parlamento europeo e del Consiglio, del 24 giugno 2021, che istituisce il Fondo sociale europeo Plus (FSE+) e che abroga il regolamento (UE) n. 1296/2013 </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Regolamento (UE) 2021/1059 del Parlamento europeo e del Consiglio, del 24 giugno 2021, recante disposizioni specifiche per l’obiettivo «Cooperazione territoriale europea» (Interreg) sostenuto dal Fondo europeo di sviluppo regionale e dagli strumenti di finanziamento esterno</w:t>
      </w:r>
    </w:p>
    <w:p>
      <w:pPr>
        <w:pStyle w:val="NormalWeb"/>
        <w:numPr>
          <w:ilvl w:val="0"/>
          <w:numId w:val="7"/>
        </w:numPr>
        <w:tabs>
          <w:tab w:val="clear" w:pos="708"/>
          <w:tab w:val="center" w:pos="4819" w:leader="none"/>
        </w:tabs>
        <w:spacing w:beforeAutospacing="0" w:before="120" w:afterAutospacing="0" w:after="0"/>
        <w:ind w:left="360" w:right="-7" w:hanging="360"/>
        <w:jc w:val="both"/>
        <w:rPr>
          <w:color w:val="000000"/>
          <w:sz w:val="22"/>
          <w:szCs w:val="22"/>
        </w:rPr>
      </w:pPr>
      <w:r>
        <w:rPr>
          <w:color w:val="000000"/>
          <w:sz w:val="22"/>
          <w:szCs w:val="22"/>
        </w:rPr>
        <w:t>Regolamento (UE) 2023/435 del Parlamento Europeo e del Consiglio del 27 febbraio 2023 che modifica i regolamenti UE 2021/241 (inserimento di capitoli dedicati al piano REPowerEU nei Pnrr), n. 1303/2013 (misure eccezionali per l’uso dei fondi della Politica di Coesione 2014-2020) e 2021/1060 (programmazione 2021-2027) </w:t>
        <w:tab/>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color w:val="000000"/>
          <w:sz w:val="22"/>
          <w:szCs w:val="22"/>
        </w:rPr>
        <w:t>Decisione SIEG - Decisione della Commissione C(2011) del 20 dicembre 2011 riguardante l’applicazione delle disposizioni dell’articolo 106, paragrafo 2, del trattato sul funzionamento dell’Unione europea agli aiuti di Stato sotto forma di compensazione degli obblighi di servizio pubblico, concessi a determinate imprese incaricate della gestione di servizi di interesse economico generale per i regimi sotto forma di compensazione degli oneri di servizio pubblico, ai sensi di altri Regolamenti di esenzione settoriale eventualmente applicabili.</w:t>
      </w:r>
      <w:r>
        <w:rPr>
          <w:sz w:val="22"/>
          <w:szCs w:val="22"/>
        </w:rPr>
        <w:tab/>
      </w:r>
    </w:p>
    <w:p>
      <w:pPr>
        <w:pStyle w:val="NormalWeb"/>
        <w:numPr>
          <w:ilvl w:val="0"/>
          <w:numId w:val="7"/>
        </w:numPr>
        <w:tabs>
          <w:tab w:val="clear" w:pos="708"/>
          <w:tab w:val="center" w:pos="4819" w:leader="none"/>
        </w:tabs>
        <w:spacing w:beforeAutospacing="0" w:before="120" w:afterAutospacing="0" w:after="0"/>
        <w:ind w:left="360" w:right="-7" w:hanging="360"/>
        <w:jc w:val="both"/>
        <w:rPr>
          <w:sz w:val="22"/>
          <w:szCs w:val="22"/>
        </w:rPr>
      </w:pPr>
      <w:r>
        <w:rPr>
          <w:color w:val="000000"/>
          <w:sz w:val="22"/>
          <w:szCs w:val="22"/>
        </w:rPr>
        <w:t>Regolamento de minimis SIEG - Regolamento (UE) N. 360/2012 della Commissione del 25 aprile 2012 relativo all’applicazione degli articoli 107 e 108 del trattato sul funzionamento dell'Unione europea agli aiuti di importanza minore («de minimis») concessi ad imprese che forniscono servizi di interesse economico generale.</w:t>
      </w:r>
      <w:r>
        <w:rPr>
          <w:sz w:val="22"/>
          <w:szCs w:val="22"/>
        </w:rPr>
        <w:tab/>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Regolamento UE n. 460/2020 di modifica dei regolamenti su fondi SIE e FESR</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Regolamento UE n. 558/2020 di modifica dei regolamenti su fondi SIE e FESR</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dell’Unione Europea C (2020) 1863 final del 19 marzo 2020 ad oggetto: “Quadro temporaneo per le misure di aiuto di Stato a sostegno dell’economia nell’attuale emergenza del COVID-19”; </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dell’Unione Europea C (2020) 2215 final del 03 aprile 2020 ad oggetto: “Modifica del quadro temporaneo per le misure di aiuto di Stato a sostegno dell’economia nell’attuale emergenza del COVID-19”;</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dell’Unione Europea C (2020) 3156 final del 08 maggio 2020 ad oggetto: “Seconda modifica del quadro temporaneo per le misure di aiuto di Stato a sostegno dell’economia nell’attuale emergenza del COVID-19”; </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Atto di approvazione CE C(2020) 3482 final del 21 maggio 2020;</w:t>
      </w:r>
    </w:p>
    <w:p>
      <w:pPr>
        <w:pStyle w:val="NormalWeb"/>
        <w:numPr>
          <w:ilvl w:val="0"/>
          <w:numId w:val="7"/>
        </w:numPr>
        <w:spacing w:beforeAutospacing="0" w:before="120" w:afterAutospacing="0" w:after="0"/>
        <w:ind w:left="360" w:right="-7" w:hanging="360"/>
        <w:jc w:val="both"/>
        <w:rPr>
          <w:sz w:val="22"/>
          <w:szCs w:val="22"/>
        </w:rPr>
      </w:pPr>
      <w:r>
        <w:rPr>
          <w:color w:val="000000"/>
          <w:sz w:val="22"/>
          <w:szCs w:val="22"/>
        </w:rPr>
        <w:t>Comunicazione della Commissione 2020 C218/03 del 29 giugno 2020 “Terza modifica del quadro temporaneo per le misure di aiuto di Stato a sostegno dell’economia nell’attuale emergenza della Covid-19”</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Accordo di partenariato 2021-2027 tra Italia e Commissione europea relativo al ciclo di programmazione 2021-2027 approvato con Decisione di esecuzione della CE n. C (2022) 4787 del 15 luglio 2022 e successivamente firmato e adottato il 19 luglio 2022, quale documento di orientamento strategico per la programmazione dei fondi FESR (Fondo europeo per lo sviluppo regionale), FSE+ (Fondo sociale europeo plus), Fondo di Coesione, JTF (Just transition fund) e FEAMPA (Fondo Europeo per gli Affari Marittimi, la Pesca e l'Acquacoltura)</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 xml:space="preserve">Delibera n. 78 del 22 dicembre 2021 con cui il CIPESS ha approvato la proposta di accordo di partenariato (AP) per l’Italia di cui al Regolamento (UE) n. 2021/1060 del Parlamento europeo e del Consiglio del 24 giugno 2021 di disposizioni comuni (RDC) concernente la programmazione dei Fondi FESR, FSE Plus, JTF e FEAMPA per il periodo di programmazione 2021- 2027, autorizzando il Ministro per il Sud e la Coesione Territoriale all’avvio e alla conduzione del negoziato formale; </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Decisione C(2022)9366 dell'8 dicembre 2022, con cui la Commissione UE ha approvato il Programma Regionale FESR Sicilia 2021/2027;</w:t>
      </w:r>
    </w:p>
    <w:p>
      <w:pPr>
        <w:pStyle w:val="Paragraph"/>
        <w:numPr>
          <w:ilvl w:val="0"/>
          <w:numId w:val="7"/>
        </w:numPr>
        <w:spacing w:beforeAutospacing="0" w:before="0" w:afterAutospacing="0" w:after="0"/>
        <w:jc w:val="both"/>
        <w:rPr>
          <w:sz w:val="22"/>
          <w:szCs w:val="22"/>
        </w:rPr>
      </w:pPr>
      <w:r>
        <w:rPr>
          <w:rStyle w:val="Normaltextrun"/>
          <w:sz w:val="22"/>
          <w:szCs w:val="22"/>
        </w:rPr>
        <w:t>il D.P.R. n. 22 del 28/02/2018 “Regolamento recante i criteri sull’ammissibilità delle spese per i programmi cofinanziati dai Fondi strutturali di investimento europei (SIE) per il periodo di programmazione 2014/2020”</w:t>
      </w:r>
      <w:r>
        <w:rPr>
          <w:rStyle w:val="Normaltextrun"/>
          <w:color w:val="000000"/>
          <w:sz w:val="22"/>
          <w:szCs w:val="22"/>
        </w:rPr>
        <w:t> </w:t>
      </w:r>
      <w:r>
        <w:rPr>
          <w:rStyle w:val="Eop"/>
          <w:color w:val="000000"/>
          <w:sz w:val="22"/>
          <w:szCs w:val="22"/>
        </w:rPr>
        <w:t> </w:t>
      </w:r>
    </w:p>
    <w:p>
      <w:pPr>
        <w:pStyle w:val="Paragraph"/>
        <w:numPr>
          <w:ilvl w:val="0"/>
          <w:numId w:val="7"/>
        </w:numPr>
        <w:spacing w:beforeAutospacing="0" w:before="0" w:afterAutospacing="0" w:after="0"/>
        <w:jc w:val="both"/>
        <w:rPr>
          <w:sz w:val="22"/>
          <w:szCs w:val="22"/>
        </w:rPr>
      </w:pPr>
      <w:r>
        <w:rPr>
          <w:rStyle w:val="Normaltextrun"/>
          <w:sz w:val="22"/>
          <w:szCs w:val="22"/>
        </w:rPr>
        <w:t>il D.Lgs. 18-4-2016 n. 50, “Codice dei contratti pubblici”, e successive modificazione e integrazioni.</w:t>
      </w:r>
      <w:r>
        <w:rPr>
          <w:rStyle w:val="Eop"/>
          <w:sz w:val="22"/>
          <w:szCs w:val="22"/>
        </w:rPr>
        <w:t> </w:t>
      </w:r>
    </w:p>
    <w:p>
      <w:pPr>
        <w:pStyle w:val="Paragraph"/>
        <w:numPr>
          <w:ilvl w:val="0"/>
          <w:numId w:val="7"/>
        </w:numPr>
        <w:spacing w:beforeAutospacing="0" w:before="0" w:afterAutospacing="0" w:after="0"/>
        <w:jc w:val="both"/>
        <w:rPr>
          <w:sz w:val="22"/>
          <w:szCs w:val="22"/>
        </w:rPr>
      </w:pPr>
      <w:r>
        <w:rPr>
          <w:rStyle w:val="Normaltextrun"/>
          <w:sz w:val="22"/>
          <w:szCs w:val="22"/>
        </w:rPr>
        <w:t>Il D.L. 16 luglio 2020, n. 76, recante «Misure urgenti per la semplificazione e l’innovazione digitali» (Decreto Semplificazioni) conv. con L. 11 settembre 2020, n. 120; </w:t>
      </w:r>
    </w:p>
    <w:p>
      <w:pPr>
        <w:pStyle w:val="Paragraph"/>
        <w:numPr>
          <w:ilvl w:val="0"/>
          <w:numId w:val="7"/>
        </w:numPr>
        <w:spacing w:beforeAutospacing="0" w:before="0" w:afterAutospacing="0" w:after="0"/>
        <w:jc w:val="both"/>
        <w:rPr>
          <w:sz w:val="22"/>
          <w:szCs w:val="22"/>
        </w:rPr>
      </w:pPr>
      <w:r>
        <w:rPr>
          <w:rStyle w:val="Normaltextrun"/>
          <w:sz w:val="22"/>
          <w:szCs w:val="22"/>
        </w:rPr>
        <w:t>Il D.L. 31 maggio 2021, n. 77, recante governance del Piano nazionale di Ripresa e Resilienza e prime misure di rafforzamento delle strutture amministrative e di accelerazione e snellimento delle procedure conv. con L. 29 luglio 2021, n. 108; </w:t>
      </w:r>
    </w:p>
    <w:p>
      <w:pPr>
        <w:pStyle w:val="Paragraph"/>
        <w:numPr>
          <w:ilvl w:val="0"/>
          <w:numId w:val="7"/>
        </w:numPr>
        <w:spacing w:beforeAutospacing="0" w:before="0" w:afterAutospacing="0" w:after="0"/>
        <w:jc w:val="both"/>
        <w:rPr>
          <w:sz w:val="22"/>
          <w:szCs w:val="22"/>
        </w:rPr>
      </w:pPr>
      <w:r>
        <w:rPr>
          <w:rStyle w:val="Normaltextrun"/>
          <w:sz w:val="22"/>
          <w:szCs w:val="22"/>
        </w:rPr>
        <w:t>D.L.17 maggio 2022, n. 50, conv. con L. 15 luglio 2022, n. 91; </w:t>
      </w:r>
    </w:p>
    <w:p>
      <w:pPr>
        <w:pStyle w:val="Paragraph"/>
        <w:numPr>
          <w:ilvl w:val="0"/>
          <w:numId w:val="7"/>
        </w:numPr>
        <w:spacing w:beforeAutospacing="0" w:before="0" w:afterAutospacing="0" w:after="0"/>
        <w:jc w:val="both"/>
        <w:rPr>
          <w:sz w:val="22"/>
          <w:szCs w:val="22"/>
        </w:rPr>
      </w:pPr>
      <w:r>
        <w:rPr>
          <w:rStyle w:val="Normaltextrun"/>
          <w:sz w:val="22"/>
          <w:szCs w:val="22"/>
        </w:rPr>
        <w:t>Il D. Lgs. 31 marzo 2023, n. 36 Codice dei contratti pubblici in attuazione dell'articolo 1 della legge 21 giugno 2022, n. 78, recante delega al Governo in materia di contratti pubblici; </w:t>
      </w:r>
    </w:p>
    <w:p>
      <w:pPr>
        <w:pStyle w:val="NormalWeb"/>
        <w:numPr>
          <w:ilvl w:val="0"/>
          <w:numId w:val="7"/>
        </w:numPr>
        <w:spacing w:beforeAutospacing="0" w:before="120" w:afterAutospacing="0" w:after="0"/>
        <w:ind w:left="360" w:right="-7" w:hanging="360"/>
        <w:jc w:val="both"/>
        <w:rPr>
          <w:color w:val="000000"/>
          <w:sz w:val="22"/>
          <w:szCs w:val="22"/>
        </w:rPr>
      </w:pPr>
      <w:r>
        <w:rPr>
          <w:rStyle w:val="Normaltextrun"/>
          <w:sz w:val="22"/>
          <w:szCs w:val="22"/>
        </w:rPr>
        <w:t>la Legge Regione Siciliana del 12 luglio 2011 n. 12 e successive modifiche ed integrazioni, recante la disciplina dei contratti pubblici relativi a lavori, servizi e forniture e il recepimento nel territorio della Regione Siciliana delle disposizioni contenute nel D.Lgs. 18-4-2016 n. 50 e le successive modifiche ed integrazioni nonché i relativi provvedimenti di attuazione dello stesso, fatte comunque salve le diverse disposizioni introdotte dalla legge regionale medesima;</w:t>
      </w:r>
      <w:r>
        <w:rPr>
          <w:rStyle w:val="Eop"/>
          <w:color w:val="0078D4"/>
          <w:sz w:val="22"/>
          <w:szCs w:val="22"/>
        </w:rPr>
        <w:t> </w:t>
      </w:r>
    </w:p>
    <w:p>
      <w:pPr>
        <w:pStyle w:val="NormalWeb"/>
        <w:numPr>
          <w:ilvl w:val="0"/>
          <w:numId w:val="7"/>
        </w:numPr>
        <w:spacing w:beforeAutospacing="0" w:before="120" w:afterAutospacing="0" w:after="0"/>
        <w:ind w:left="360" w:right="-7" w:hanging="360"/>
        <w:jc w:val="both"/>
        <w:rPr>
          <w:color w:val="000000"/>
          <w:sz w:val="22"/>
          <w:szCs w:val="22"/>
        </w:rPr>
      </w:pPr>
      <w:r>
        <w:rPr>
          <w:rStyle w:val="Normaltextrun"/>
          <w:sz w:val="22"/>
          <w:szCs w:val="22"/>
        </w:rPr>
        <w:t>la Legge Regione Siciliana 5 aprile 2011 n. 5 – Disposizioni per la trasparenza, la semplificazione, l’efficienza, l’informatizzazione della pubblica amministrazione e l’agevolazione delle iniziative economiche. Disposizioni per il contrasto alla corruzione ed alla criminalità organizzata di stampo mafioso. Disposizioni per il riordino e la semplificazione della legislazione regionale;</w:t>
      </w:r>
      <w:r>
        <w:rPr>
          <w:rStyle w:val="Eop"/>
          <w:sz w:val="22"/>
          <w:szCs w:val="22"/>
        </w:rPr>
        <w:t> </w:t>
      </w:r>
    </w:p>
    <w:p>
      <w:pPr>
        <w:pStyle w:val="NormalWeb"/>
        <w:numPr>
          <w:ilvl w:val="0"/>
          <w:numId w:val="7"/>
        </w:numPr>
        <w:spacing w:beforeAutospacing="0" w:before="120" w:afterAutospacing="0" w:after="0"/>
        <w:ind w:left="360" w:right="-7" w:hanging="360"/>
        <w:jc w:val="both"/>
        <w:rPr>
          <w:color w:val="000000"/>
          <w:sz w:val="22"/>
          <w:szCs w:val="22"/>
        </w:rPr>
      </w:pPr>
      <w:r>
        <w:rPr>
          <w:rStyle w:val="Eop"/>
          <w:color w:val="000000"/>
          <w:sz w:val="22"/>
          <w:szCs w:val="22"/>
        </w:rPr>
        <w:t>Legge Regione Sicilia 21 maggio 2019, n. 7 “Disposizioni per i procedimenti amministrativi e la funzionalità dell’azione amministrativa”;</w:t>
      </w:r>
    </w:p>
    <w:p>
      <w:pPr>
        <w:pStyle w:val="NormalWeb"/>
        <w:numPr>
          <w:ilvl w:val="0"/>
          <w:numId w:val="7"/>
        </w:numPr>
        <w:spacing w:beforeAutospacing="0" w:before="120" w:afterAutospacing="0" w:after="0"/>
        <w:ind w:left="360" w:right="-7" w:hanging="360"/>
        <w:jc w:val="both"/>
        <w:rPr>
          <w:color w:val="000000"/>
          <w:sz w:val="22"/>
          <w:szCs w:val="22"/>
        </w:rPr>
      </w:pPr>
      <w:r>
        <w:rPr>
          <w:color w:val="000000"/>
          <w:sz w:val="22"/>
          <w:szCs w:val="22"/>
        </w:rPr>
        <w:t xml:space="preserve">Deliberazione n. 102 del 15 febbraio 2023 con la quale la Giunta regionale ha adottato il Programma Regionale FESR Sicilia 2021/2027, approvato dalla Commissione Europea con Decisione C(2022)9366 dell'8 dicembre 2022; </w:t>
      </w:r>
    </w:p>
    <w:p>
      <w:pPr>
        <w:pStyle w:val="NormalWeb"/>
        <w:numPr>
          <w:ilvl w:val="0"/>
          <w:numId w:val="7"/>
        </w:numPr>
        <w:spacing w:beforeAutospacing="0" w:before="120" w:afterAutospacing="0" w:after="0"/>
        <w:ind w:left="360" w:right="-7" w:hanging="360"/>
        <w:jc w:val="both"/>
        <w:rPr>
          <w:color w:val="000000"/>
          <w:sz w:val="22"/>
          <w:szCs w:val="22"/>
        </w:rPr>
      </w:pPr>
      <w:r>
        <w:rPr>
          <w:rStyle w:val="Eop"/>
          <w:color w:val="000000"/>
          <w:sz w:val="22"/>
          <w:szCs w:val="22"/>
        </w:rPr>
        <w:t>Deliberazione n. 133 del 30 marzo 2023. “Programma Regionale FESR Sicilia 2021/2027. Decisione della Commissione C(2022)9366 dell'8 dicembre 2022. Comitato di Sorveglianza”. </w:t>
      </w:r>
    </w:p>
    <w:p>
      <w:pPr>
        <w:pStyle w:val="NormalWeb"/>
        <w:numPr>
          <w:ilvl w:val="0"/>
          <w:numId w:val="7"/>
        </w:numPr>
        <w:spacing w:beforeAutospacing="0" w:before="120" w:afterAutospacing="0" w:after="0"/>
        <w:ind w:left="360" w:right="-7" w:hanging="360"/>
        <w:jc w:val="both"/>
        <w:rPr>
          <w:sz w:val="22"/>
          <w:szCs w:val="22"/>
        </w:rPr>
      </w:pPr>
      <w:r>
        <w:rPr>
          <w:rStyle w:val="Normaltextrun"/>
          <w:sz w:val="22"/>
          <w:szCs w:val="22"/>
        </w:rPr>
        <w:t>Deliberazione n. 171 del 26 aprile 2023. “Programma Regionale FESR Sicilia 2021/2027. Documento 'Metodologia e criteri di selezione delle operazioni'”. </w:t>
      </w:r>
    </w:p>
    <w:p>
      <w:pPr>
        <w:pStyle w:val="NormalWeb"/>
        <w:numPr>
          <w:ilvl w:val="0"/>
          <w:numId w:val="7"/>
        </w:numPr>
        <w:spacing w:beforeAutospacing="0" w:before="120" w:afterAutospacing="0" w:after="0"/>
        <w:ind w:left="360" w:right="-7" w:hanging="360"/>
        <w:jc w:val="both"/>
        <w:rPr>
          <w:sz w:val="22"/>
          <w:szCs w:val="22"/>
        </w:rPr>
      </w:pPr>
      <w:r>
        <w:rPr>
          <w:rStyle w:val="Normaltextrun"/>
          <w:sz w:val="22"/>
          <w:szCs w:val="22"/>
        </w:rPr>
        <w:t>Deliberazione n. 195 del 18 maggio 2023. “Programma Regionale FESR Sicilia 2021/2027. Documento 'Metodologia e criteri di selezione delle operazioni'. Presa d'atto modifiche”.;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Deliberazione n. 253 del 19 giugno 2023. “Approvazione disegno di legge: Recepimento del nuovo codice dei contratti pubblici”</w:t>
      </w:r>
    </w:p>
    <w:p>
      <w:pPr>
        <w:pStyle w:val="Normal"/>
        <w:widowControl w:val="false"/>
        <w:numPr>
          <w:ilvl w:val="0"/>
          <w:numId w:val="7"/>
        </w:numPr>
        <w:spacing w:lineRule="auto" w:line="240" w:before="0" w:after="0"/>
        <w:jc w:val="both"/>
        <w:rPr>
          <w:rFonts w:ascii="Times New Roman" w:hAnsi="Times New Roman" w:eastAsia="Times New Roman"/>
          <w:lang w:eastAsia="it-IT"/>
        </w:rPr>
      </w:pPr>
      <w:r>
        <w:rPr>
          <w:rStyle w:val="Normaltextrun"/>
          <w:rFonts w:eastAsia="Times New Roman" w:ascii="Times New Roman" w:hAnsi="Times New Roman"/>
          <w:lang w:eastAsia="it-IT"/>
        </w:rPr>
        <w:t>[altri regolamenti applicabili];</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Normativa di settore con riferimento all’asse e/o all’azione</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 xml:space="preserve">Altri atti amministrativi e normativa regionale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la Legge Regione Siciliana n. __ del __/__/____ che approva il bilancio di previsione della Regione Siciliana per l’anno finanziario ____;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 xml:space="preserve">l’Avviso pubblico approvato con D.D.G. n. ____ del __/__/____ pubblicato sulla G.U.R.S. n. __ del __/__/____ e sul </w:t>
      </w:r>
      <w:r>
        <w:rPr>
          <w:rFonts w:eastAsia="SimSun" w:ascii="Times New Roman" w:hAnsi="Times New Roman"/>
          <w:b/>
          <w:lang w:eastAsia="zh-CN" w:bidi="hi-IN"/>
        </w:rPr>
        <w:t>portale unico web</w:t>
      </w:r>
      <w:r>
        <w:rPr>
          <w:rFonts w:eastAsia="SimSun" w:ascii="Times New Roman" w:hAnsi="Times New Roman"/>
          <w:lang w:eastAsia="zh-CN" w:bidi="hi-IN"/>
        </w:rPr>
        <w:t xml:space="preserve"> (nelle more dell’operatività di tale portale saranno utilizzate le attuali modalità di pubblicazione sul sito </w:t>
      </w:r>
      <w:r>
        <w:rPr>
          <w:rStyle w:val="CollegamentoInternet"/>
          <w:rFonts w:eastAsia="SimSun" w:ascii="Times New Roman" w:hAnsi="Times New Roman"/>
          <w:lang w:eastAsia="zh-CN" w:bidi="hi-IN"/>
        </w:rPr>
        <w:t xml:space="preserve">www.euroinfosicilia.it) </w:t>
      </w:r>
      <w:r>
        <w:rPr>
          <w:rStyle w:val="Normaltextrun"/>
          <w:rFonts w:eastAsia="Times New Roman" w:ascii="Times New Roman" w:hAnsi="Times New Roman"/>
          <w:lang w:eastAsia="it-IT"/>
        </w:rPr>
        <w:t xml:space="preserve"> e sul sito istituzionale di questo Dipartimento competente (di seguito l’Avviso);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D.D.G. n. ________ che ….(per eventuali modifiche dell’avviso)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D.D.G. n. __ del __/__/____ con il quale è stato approvato, ai sensi del punto __ dell’avviso pubblico, l’elenco dettagliato delle istanze con riportato le domande ammissibili, le irricevibili e le inammissibili;</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DDG n. __ del __/__/____ che ha nominato la Commissione di Valutazione per l’Avviso 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 verbali di della Commissione trasmessi __ in data __/__/_____;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decreto di approvazione della graduatoria dei progetti ammessi al contributo di cui al predetto Avviso, pubblicato sulla GURS n. ___ del ___; </w:t>
      </w:r>
    </w:p>
    <w:p>
      <w:pPr>
        <w:pStyle w:val="ListParagraph"/>
        <w:numPr>
          <w:ilvl w:val="0"/>
          <w:numId w:val="7"/>
        </w:numPr>
        <w:spacing w:lineRule="auto" w:line="240" w:before="0" w:after="0"/>
        <w:contextualSpacing/>
        <w:jc w:val="both"/>
        <w:rPr>
          <w:rFonts w:ascii="Times New Roman" w:hAnsi="Times New Roman" w:eastAsia="Times New Roman"/>
          <w:lang w:eastAsia="it-IT"/>
        </w:rPr>
      </w:pPr>
      <w:r>
        <w:rPr>
          <w:rStyle w:val="Normaltextrun"/>
          <w:rFonts w:eastAsia="Times New Roman" w:ascii="Times New Roman" w:hAnsi="Times New Roman"/>
          <w:lang w:eastAsia="it-IT"/>
        </w:rPr>
        <w:t>il decreto di finanziamento n. ___ del ___, registrato dalla Ragioneria Centrale del Dipartimento; </w:t>
      </w:r>
    </w:p>
    <w:p>
      <w:pPr>
        <w:pStyle w:val="Normal"/>
        <w:widowControl w:val="false"/>
        <w:spacing w:lineRule="auto" w:line="240" w:before="0" w:after="0"/>
        <w:ind w:firstLine="709"/>
        <w:jc w:val="left"/>
        <w:rPr>
          <w:rFonts w:ascii="Times New Roman" w:hAnsi="Times New Roman"/>
          <w:color w:val="000000"/>
          <w:highlight w:val="yellow"/>
        </w:rPr>
      </w:pPr>
      <w:r>
        <w:rPr>
          <w:rFonts w:ascii="Times New Roman" w:hAnsi="Times New Roman"/>
          <w:color w:val="000000"/>
          <w:highlight w:val="yellow"/>
        </w:rPr>
      </w:r>
    </w:p>
    <w:p>
      <w:pPr>
        <w:pStyle w:val="Normal"/>
        <w:spacing w:lineRule="auto" w:line="240" w:before="0" w:after="0"/>
        <w:jc w:val="center"/>
        <w:rPr>
          <w:rFonts w:ascii="Times New Roman" w:hAnsi="Times New Roman"/>
          <w:b/>
          <w:b/>
        </w:rPr>
      </w:pPr>
      <w:r>
        <w:rPr>
          <w:rFonts w:ascii="Times New Roman" w:hAnsi="Times New Roman"/>
          <w:b/>
        </w:rPr>
        <w:t>TUTTO CIO' PREMESSO</w:t>
      </w:r>
    </w:p>
    <w:p>
      <w:pPr>
        <w:pStyle w:val="Normal"/>
        <w:widowControl w:val="false"/>
        <w:spacing w:lineRule="auto" w:line="240" w:before="0" w:after="0"/>
        <w:jc w:val="both"/>
        <w:rPr>
          <w:rFonts w:ascii="Times New Roman" w:hAnsi="Times New Roman"/>
          <w:color w:val="000000"/>
        </w:rPr>
      </w:pPr>
      <w:r>
        <w:rPr>
          <w:rFonts w:ascii="Times New Roman" w:hAnsi="Times New Roman"/>
          <w:color w:val="000000"/>
        </w:rPr>
        <w:t>parte integrante e sostanziale del presente Disciplinare, i rapporti tra la Regione Siciliana, Dipartimento …………………, e …………………………………….., per la realizzazione dell’operazione di cui all’allegato, sono regolati come di seguito.</w:t>
      </w:r>
    </w:p>
    <w:p>
      <w:pPr>
        <w:pStyle w:val="Normal"/>
        <w:widowControl w:val="false"/>
        <w:tabs>
          <w:tab w:val="clear" w:pos="708"/>
          <w:tab w:val="left" w:pos="3535" w:leader="none"/>
        </w:tabs>
        <w:spacing w:lineRule="auto" w:line="240" w:before="0" w:after="0"/>
        <w:ind w:firstLine="709"/>
        <w:jc w:val="left"/>
        <w:rPr>
          <w:rFonts w:ascii="Times New Roman" w:hAnsi="Times New Roman"/>
          <w:color w:val="000000"/>
        </w:rPr>
      </w:pPr>
      <w:r>
        <w:rPr>
          <w:rFonts w:ascii="Times New Roman" w:hAnsi="Times New Roman"/>
          <w:color w:val="000000"/>
        </w:rPr>
        <w:tab/>
      </w:r>
    </w:p>
    <w:p>
      <w:pPr>
        <w:pStyle w:val="Titolo5"/>
        <w:spacing w:lineRule="auto" w:line="240" w:before="0" w:after="0"/>
        <w:jc w:val="center"/>
        <w:rPr>
          <w:rFonts w:ascii="Times New Roman" w:hAnsi="Times New Roman"/>
          <w:b/>
          <w:b/>
        </w:rPr>
      </w:pPr>
      <w:r>
        <w:rPr>
          <w:rFonts w:ascii="Times New Roman" w:hAnsi="Times New Roman"/>
          <w:b/>
        </w:rPr>
        <w:t>Art. 1 – Oggetto e validità del Disciplinare</w:t>
      </w:r>
    </w:p>
    <w:p>
      <w:pPr>
        <w:pStyle w:val="ListParagraph"/>
        <w:widowControl w:val="false"/>
        <w:numPr>
          <w:ilvl w:val="0"/>
          <w:numId w:val="8"/>
        </w:numPr>
        <w:tabs>
          <w:tab w:val="clear" w:pos="708"/>
          <w:tab w:val="left" w:pos="3535" w:leader="none"/>
        </w:tabs>
        <w:spacing w:lineRule="auto" w:line="240" w:before="0" w:after="0"/>
        <w:ind w:left="426" w:hanging="426"/>
        <w:contextualSpacing/>
        <w:jc w:val="both"/>
        <w:rPr>
          <w:rFonts w:ascii="Times New Roman" w:hAnsi="Times New Roman"/>
          <w:color w:val="000000"/>
        </w:rPr>
      </w:pPr>
      <w:r>
        <w:rPr>
          <w:rFonts w:ascii="Times New Roman" w:hAnsi="Times New Roman"/>
          <w:color w:val="000000"/>
        </w:rPr>
        <w:t>I rapporti tra la Regione Siciliana, Dipartimento Pianificazione Strategica (di seguito, “Regione”) e ___, soggetto Beneficiario (di seguito, “Beneficiario”) del contributo finanziario (di seguito, anche “contributo” o “finanziamento”) a valere sul PR (di seguito, “Programma”), Obiettivo specifico 4.5  ___ Azione ___PRATT ___, per l’importo di € ___, a fronte di un investimento complessivo di € ___, per la realizzazione dell’operazione (di seguito, l’Operazione) di cui all’Allegato al presente Disciplinare, costituente parte integrante di quest’ultimo, sono regolamentati secondo quanto riportato nei successivi articoli.</w:t>
        <w:tab/>
      </w:r>
    </w:p>
    <w:p>
      <w:pPr>
        <w:pStyle w:val="ListParagraph"/>
        <w:widowControl w:val="false"/>
        <w:numPr>
          <w:ilvl w:val="0"/>
          <w:numId w:val="8"/>
        </w:numPr>
        <w:tabs>
          <w:tab w:val="clear" w:pos="708"/>
          <w:tab w:val="left" w:pos="3535" w:leader="none"/>
        </w:tabs>
        <w:spacing w:lineRule="auto" w:line="240" w:before="0" w:after="0"/>
        <w:ind w:left="426" w:hanging="426"/>
        <w:contextualSpacing/>
        <w:jc w:val="both"/>
        <w:rPr>
          <w:rFonts w:ascii="Times New Roman" w:hAnsi="Times New Roman"/>
          <w:color w:val="000000"/>
        </w:rPr>
      </w:pPr>
      <w:r>
        <w:rPr>
          <w:rFonts w:ascii="Times New Roman" w:hAnsi="Times New Roman"/>
          <w:color w:val="000000"/>
        </w:rPr>
        <w:t xml:space="preserve">Il presente Disciplinare decorre dalla data di formale adesione allo stesso da parte del Beneficiario e ha validità sino al ___. </w:t>
        <w:tab/>
      </w:r>
    </w:p>
    <w:p>
      <w:pPr>
        <w:pStyle w:val="ListParagraph"/>
        <w:widowControl w:val="false"/>
        <w:numPr>
          <w:ilvl w:val="0"/>
          <w:numId w:val="8"/>
        </w:numPr>
        <w:tabs>
          <w:tab w:val="clear" w:pos="708"/>
          <w:tab w:val="left" w:pos="3535" w:leader="none"/>
        </w:tabs>
        <w:spacing w:lineRule="auto" w:line="240" w:before="0" w:after="0"/>
        <w:ind w:left="426" w:hanging="426"/>
        <w:contextualSpacing/>
        <w:jc w:val="both"/>
        <w:rPr>
          <w:rFonts w:ascii="Times New Roman" w:hAnsi="Times New Roman"/>
          <w:color w:val="000000"/>
        </w:rPr>
      </w:pPr>
      <w:r>
        <w:rPr>
          <w:rFonts w:ascii="Times New Roman" w:hAnsi="Times New Roman"/>
          <w:color w:val="000000"/>
        </w:rPr>
        <w:t xml:space="preserve">Tutti i termini indicati nel presente Disciplinare sono da intendersi riferiti a giorni naturali e consecutivi, salvo ove diversamente indicato. </w:t>
        <w:tab/>
      </w:r>
    </w:p>
    <w:p>
      <w:pPr>
        <w:pStyle w:val="Normal"/>
        <w:widowControl w:val="false"/>
        <w:tabs>
          <w:tab w:val="clear" w:pos="708"/>
          <w:tab w:val="left" w:pos="3535" w:leader="none"/>
        </w:tabs>
        <w:spacing w:lineRule="auto" w:line="240" w:before="0" w:after="0"/>
        <w:ind w:firstLine="709"/>
        <w:jc w:val="left"/>
        <w:rPr>
          <w:rFonts w:ascii="Times New Roman" w:hAnsi="Times New Roman"/>
          <w:b/>
          <w:b/>
          <w:color w:val="000000"/>
        </w:rPr>
      </w:pPr>
      <w:r>
        <w:rPr>
          <w:rFonts w:ascii="Times New Roman" w:hAnsi="Times New Roman"/>
          <w:b/>
          <w:color w:val="000000"/>
        </w:rPr>
        <w:tab/>
      </w:r>
    </w:p>
    <w:p>
      <w:pPr>
        <w:pStyle w:val="Titolo5"/>
        <w:spacing w:lineRule="auto" w:line="240" w:before="0" w:after="0"/>
        <w:jc w:val="center"/>
        <w:rPr>
          <w:rFonts w:ascii="Times New Roman" w:hAnsi="Times New Roman"/>
          <w:b/>
          <w:b/>
        </w:rPr>
      </w:pPr>
      <w:r>
        <w:rPr>
          <w:rFonts w:ascii="Times New Roman" w:hAnsi="Times New Roman"/>
          <w:b/>
        </w:rPr>
        <w:t>Art. 2 – Obblighi del Beneficiario</w:t>
      </w:r>
    </w:p>
    <w:p>
      <w:pPr>
        <w:pStyle w:val="Normal"/>
        <w:widowControl w:val="false"/>
        <w:spacing w:lineRule="auto" w:line="240" w:before="0" w:after="0"/>
        <w:jc w:val="both"/>
        <w:rPr>
          <w:rFonts w:ascii="Times New Roman" w:hAnsi="Times New Roman"/>
          <w:color w:val="000000"/>
        </w:rPr>
      </w:pPr>
      <w:r>
        <w:rPr>
          <w:rFonts w:ascii="Times New Roman" w:hAnsi="Times New Roman"/>
          <w:color w:val="000000"/>
        </w:rPr>
        <w:t>Il Beneficiario provvede a dare attuazione all’Operazione e, al fine di garantire il rispetto delle procedure di gestione previste per il Programma, si obbliga a:</w:t>
      </w:r>
    </w:p>
    <w:p>
      <w:pPr>
        <w:pStyle w:val="Paragraph"/>
        <w:numPr>
          <w:ilvl w:val="0"/>
          <w:numId w:val="9"/>
        </w:numPr>
        <w:spacing w:beforeAutospacing="0" w:before="0" w:afterAutospacing="0" w:after="0"/>
        <w:jc w:val="both"/>
        <w:rPr>
          <w:sz w:val="22"/>
          <w:szCs w:val="22"/>
        </w:rPr>
      </w:pPr>
      <w:r>
        <w:rPr>
          <w:rStyle w:val="Normaltextrun"/>
          <w:sz w:val="22"/>
          <w:szCs w:val="22"/>
        </w:rPr>
        <w:t>Il rispetto dei principi trasversali dell’Unione Europea, quali non discriminazione, trasparenza, la parità di genere e della Carta dei diritti fondamentali dell’Unione europea, nonché del principio dello sviluppo sostenibile e della politica dell’Unione in materia ambientale</w:t>
      </w:r>
      <w:r>
        <w:rPr>
          <w:rStyle w:val="Eop"/>
          <w:sz w:val="22"/>
          <w:szCs w:val="22"/>
        </w:rPr>
        <w:t>;</w:t>
      </w:r>
    </w:p>
    <w:p>
      <w:pPr>
        <w:pStyle w:val="Paragraph"/>
        <w:numPr>
          <w:ilvl w:val="0"/>
          <w:numId w:val="9"/>
        </w:numPr>
        <w:spacing w:beforeAutospacing="0" w:before="0" w:afterAutospacing="0" w:after="0"/>
        <w:jc w:val="both"/>
        <w:rPr>
          <w:sz w:val="22"/>
          <w:szCs w:val="22"/>
        </w:rPr>
      </w:pPr>
      <w:r>
        <w:rPr>
          <w:rStyle w:val="Normaltextrun"/>
          <w:sz w:val="22"/>
          <w:szCs w:val="22"/>
        </w:rPr>
        <w:t>la conformità delle procedure utilizzate alle norme comunitarie e nazionali di settore nonché a quelle in materia energetica, ambientale, sociale, sicurezza e lavoro, di pari opportunità, gare di appalto e regole della concorrenza ed in particolare il rispetto di quanto disposto dall’art. 50 del Reg. (UE) n. 1060/2021 “Responsabilità dei beneficiari”;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lo svolgimento di un’istruttoria motivata che, nell’ambito della propria auto-organizzazione amministrativa, giustifichi la scelta di affidare eventualmente a una Società in house la prestazione di servizi specialistici. Il provvedimento motivato dell’affidamento in house, da adottarsi nel rispetto dei principi di “risultato”, “fiducia” e “accesso al mercato”, deve dare conto dei vantaggi per la collettività, delle connesse esternalità e della congruità economica della prestazione, anche in relazione al perseguimento di obiettivi di universalità, socialità, efficienza, economicità, qualità della prestazione, celerità del procedimento e razionale impiego di risorse pubbliche (eventuale);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un sistema di contabilità separata (art 57 del CPR) o una codificazione contabile appropriata per tutte le transazioni relative alle operazioni afferenti al PR FESR 21-27 e la costituzione di un conto di tesoreria e/o conto corrente per entrate e uscite relative a tutte le operazioni afferenti al PR FESR 21/27;</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di tutte le disposizioni per la tracciabilità dei flussi finanziari di cui all’art. 3 della Legge n. 136 del 13 agosto 2010 e s.m.i.;</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della normativa comunitaria, nazionale e regionale sull’ammissibilità delle spese;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 divieto di doppio finanziamento previsto dalla normativa europea e nazionale nell’utilizzo di risorse pubbliche;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lì dove ne sussistano i requisiti, di quanto previsto dall’art. 73 c.2 lett. j) del RDC, ovvero “l’immunizzazione dagli effetti del clima degli investimenti in infrastrutture la cui durata attesa è di almeno cinque anni” (Comunicazione 2021/C 373/01 – climateproofing), come declinato tra i requisiti di “Ammissibilità Generale”: criterio 3.5;</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 principio del DNSH ex art. 17 del Regolamento (UE) 2020/852, come declinato tra i requisiti di “Ammissibilità Generale”: criterio 3.9;</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degli specifici adempimenti eventualmente stabiliti dall’avviso di selezione ovvero connessi alla procedura di selezione e concessione dal decreto di ammissione a finanziamento;</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l’implementazione in modo adeguato della sezione di propria competenza del sistema di monitoraggio alle scadenze comunicate e con le modalità richieste, al fine di fornire i dati relativi all’attuazione delle attività/operazioni finanziate, necessari ad alimentare il monitoraggio finanziario, procedurale e fisico. L’aggiornamento del sistema di monitoraggio da parte del Beneficiario sarà propedeutico alla liquidazione degli acconti del finanziamento concesso da parte della Regione durante la realizzazione dell’operazione;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l’attestazione delle spese effettivamente sostenute e quietanzate nel periodo di riferimento, unitamente alla copia della documentazione tecnico/amministrativa/contabile relativa alle attività/operazioni finanziate;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delle procedure definite nella pista di controllo secondo quanto specificamente indicato dal CdR concedente;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 predisposizione e l’invio al CdR concedente dei cronoprogrammi procedurale e di spesa allegati alla presente Convenzione. In particolare, il cronoprogramma di spesa deve riportare le previsioni di spesa dell’operazione in coerenza con l’avanzamento fisico e procedurale riportato nel cronoprogramma procedurale;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del cronogramma procedurale e di spesa dell’operazione riportato nel Decreto di ammissione a finanziamento e allegato alla presente Convenzione. </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l’istituzione di un fascicolo di progetto contenente la documentazione tecnica, amministrativa e contabile in originale, conformemente a quanto prescritto nel Manuale controlli;</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l’emissione, in caso di pluralità di operazioni cofinanziate nell’ambito del PR Sicilia FESR 21-27, ovvero di cofinanziamento dell’operazione con ulteriori fonti finanziarie, di documenti di spesa distinti, ovvero la chiara imputazione della quota di spesa corrispondente a ciascuna operazione o a ciascuna fonte finanziaria;</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l’inoltro al CdR concedente della documentazione inerente all’operazione cofinanziata in formato digitale secondo le indicazioni riportate nel Manuale di Attuazione PR Sicilia FESR 21-27 e, nell’avviso di selezione dell’operazione;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 conservazione della documentazione relativa all’operazione secondo quanto stabilito dall’art. 82 del Regolamento (UE) n. 1060/2021;</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rispetto e l’applicazione delle norme in materia di informazione e pubblicità del finanziamento con Fondi per la politica di coesione 2021-2027 dell’Operazione;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la stabilità dell’operazione ai sensi e per gli effetti dell’art. 65 del Regolamento (UE) n. 1060/2021;</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il corretto adempimento di tutte le prestazioni e obblighi in capo al Beneficiario come previsti dai Regolamenti comunitari richiamati nelle Premesse e dal Manuale di Attuazione del PR FESR Sicilia21/27, anche nelle versioni aggiornate successivamente alla stipula della presente Convenzione;</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applicare e rispettare le norme in materia di contrasto al lavoro non regolare, anche attraverso specifiche disposizioni inserite nei bandi di gara per l’affidamento delle attività a terzi;</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applicare e rispettare le disposizioni di cui alla legge regionale n. 10/1991 e s.m.i., nonché le altre disposizioni nazionali e regionali in materia fiscale, di trasparenza dell’azione amministrativa, di tracciabilità dei pagamenti, di contrasto alla criminalità organizzata e di anticorruzione ex lege n. 190/2010;</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garantire la capacità finanziaria per la realizzazione dell’operazione di cui all’art. 73 (2)(d) del CPR;</w:t>
      </w:r>
      <w:r>
        <w:rPr>
          <w:rStyle w:val="Eop"/>
          <w:sz w:val="22"/>
          <w:szCs w:val="22"/>
        </w:rPr>
        <w:t> </w:t>
      </w:r>
    </w:p>
    <w:p>
      <w:pPr>
        <w:pStyle w:val="Paragraph"/>
        <w:numPr>
          <w:ilvl w:val="0"/>
          <w:numId w:val="9"/>
        </w:numPr>
        <w:spacing w:beforeAutospacing="0" w:before="0" w:afterAutospacing="0" w:after="0"/>
        <w:jc w:val="both"/>
        <w:rPr>
          <w:sz w:val="22"/>
          <w:szCs w:val="22"/>
        </w:rPr>
      </w:pPr>
      <w:r>
        <w:rPr>
          <w:rStyle w:val="Normaltextrun"/>
          <w:sz w:val="22"/>
          <w:szCs w:val="22"/>
        </w:rPr>
        <w:t>consentire le verifiche in loco, a favore delle autorità di controllo regionali, nazionali e comunitarie;</w:t>
      </w:r>
      <w:r>
        <w:rPr>
          <w:rStyle w:val="Eop"/>
          <w:sz w:val="22"/>
          <w:szCs w:val="22"/>
        </w:rPr>
        <w:t> </w:t>
      </w:r>
    </w:p>
    <w:p>
      <w:pPr>
        <w:pStyle w:val="Paragraph"/>
        <w:numPr>
          <w:ilvl w:val="0"/>
          <w:numId w:val="9"/>
        </w:numPr>
        <w:spacing w:beforeAutospacing="0" w:before="0" w:afterAutospacing="0" w:after="0"/>
        <w:jc w:val="both"/>
        <w:rPr>
          <w:rStyle w:val="Eop"/>
          <w:sz w:val="22"/>
          <w:szCs w:val="22"/>
        </w:rPr>
      </w:pPr>
      <w:r>
        <w:rPr>
          <w:rStyle w:val="Eop"/>
          <w:sz w:val="22"/>
          <w:szCs w:val="22"/>
        </w:rPr>
        <w:t>a</w:t>
      </w:r>
      <w:r>
        <w:rPr>
          <w:rStyle w:val="Normaltextrun"/>
          <w:sz w:val="22"/>
          <w:szCs w:val="22"/>
        </w:rPr>
        <w:t>ssicurare che l’Operazione sia completata, in uso e funzionante entro il termine previsto nel cronoprogramma di cui al paragrafo 6 dell’Allegato al presente Disciplinare;</w:t>
      </w:r>
    </w:p>
    <w:p>
      <w:pPr>
        <w:pStyle w:val="Paragraph"/>
        <w:numPr>
          <w:ilvl w:val="0"/>
          <w:numId w:val="9"/>
        </w:numPr>
        <w:spacing w:beforeAutospacing="0" w:before="0" w:afterAutospacing="0" w:after="0"/>
        <w:jc w:val="both"/>
        <w:rPr>
          <w:sz w:val="22"/>
          <w:szCs w:val="22"/>
        </w:rPr>
      </w:pPr>
      <w:r>
        <w:rPr>
          <w:rStyle w:val="Eop"/>
          <w:sz w:val="22"/>
          <w:szCs w:val="22"/>
        </w:rPr>
        <w:t>d</w:t>
      </w:r>
      <w:r>
        <w:rPr>
          <w:rStyle w:val="Normaltextrun"/>
          <w:sz w:val="22"/>
          <w:szCs w:val="22"/>
        </w:rPr>
        <w:t>are tempestiva informazione circa l’insorgere di eventuali procedure amministrative o giudiziarie concernenti l’Operazione.</w:t>
      </w:r>
      <w:r>
        <w:rPr>
          <w:rStyle w:val="Eop"/>
          <w:sz w:val="22"/>
          <w:szCs w:val="22"/>
        </w:rPr>
        <w:t> </w:t>
      </w:r>
    </w:p>
    <w:p>
      <w:pPr>
        <w:pStyle w:val="ListParagraph"/>
        <w:widowControl w:val="false"/>
        <w:spacing w:lineRule="auto" w:line="240" w:before="0" w:after="0"/>
        <w:contextualSpacing/>
        <w:jc w:val="both"/>
        <w:rPr>
          <w:rFonts w:ascii="Times New Roman" w:hAnsi="Times New Roman"/>
          <w:color w:val="000000"/>
        </w:rPr>
      </w:pPr>
      <w:r>
        <w:rPr>
          <w:rFonts w:ascii="Times New Roman" w:hAnsi="Times New Roman"/>
          <w:color w:val="000000"/>
        </w:rPr>
      </w:r>
    </w:p>
    <w:p>
      <w:pPr>
        <w:pStyle w:val="Titolo5"/>
        <w:spacing w:lineRule="auto" w:line="240" w:before="0" w:after="0"/>
        <w:jc w:val="center"/>
        <w:rPr>
          <w:rFonts w:ascii="Times New Roman" w:hAnsi="Times New Roman"/>
          <w:b/>
          <w:b/>
        </w:rPr>
      </w:pPr>
      <w:r>
        <w:rPr>
          <w:rFonts w:ascii="Times New Roman" w:hAnsi="Times New Roman"/>
          <w:b/>
        </w:rPr>
        <w:t>Art. 3 – Cronoprogramma dell’Operazione</w:t>
      </w:r>
    </w:p>
    <w:p>
      <w:pPr>
        <w:pStyle w:val="ListParagraph"/>
        <w:widowControl w:val="false"/>
        <w:numPr>
          <w:ilvl w:val="0"/>
          <w:numId w:val="10"/>
        </w:numPr>
        <w:spacing w:lineRule="auto" w:line="240" w:before="0" w:after="0"/>
        <w:contextualSpacing/>
        <w:jc w:val="both"/>
        <w:rPr>
          <w:rFonts w:ascii="Times New Roman" w:hAnsi="Times New Roman"/>
          <w:color w:val="000000"/>
        </w:rPr>
      </w:pPr>
      <w:r>
        <w:rPr>
          <w:rFonts w:ascii="Times New Roman" w:hAnsi="Times New Roman"/>
          <w:color w:val="000000"/>
        </w:rPr>
        <w:t>Nell’attuazione dell’Operazione il Beneficiario si impegna al rispetto del cronoprogramma di cui al paragrafo 6 dell’Allegato al presente Disciplinare.</w:t>
      </w:r>
    </w:p>
    <w:p>
      <w:pPr>
        <w:pStyle w:val="ListParagraph"/>
        <w:widowControl w:val="false"/>
        <w:numPr>
          <w:ilvl w:val="0"/>
          <w:numId w:val="10"/>
        </w:numPr>
        <w:spacing w:lineRule="auto" w:line="240" w:before="0" w:after="0"/>
        <w:contextualSpacing/>
        <w:jc w:val="both"/>
        <w:rPr>
          <w:rFonts w:ascii="Times New Roman" w:hAnsi="Times New Roman"/>
          <w:color w:val="000000"/>
        </w:rPr>
      </w:pPr>
      <w:r>
        <w:rPr>
          <w:rFonts w:ascii="Times New Roman" w:hAnsi="Times New Roman"/>
          <w:color w:val="000000"/>
        </w:rPr>
        <w:t>Nel caso in cui il mancato rispetto dei termini temporali  per ciascuna delle singole fasi di attuazione dell’Operazione indicati nel paragrafo 6 dell’Allegato al presente Disciplinare, così come riveniente dal sistema di monitoraggio economico, finanziario, fisico e procedurale Caronte o comunque accertato dalla Regione, non consenta di completare l’Operazione entro il termine previsto nel medesimo cronoprogramma, la Regione avvia il procedimento di revoca del contributo finanziario concesso, salvo che, ricorrendo comunque le condizioni di cui al successivo comma 3, il ritardo dipenda da causa di forza maggiore comprovata, da dimostrarsi dal Beneficiario entro ___ (_____) giorni dalla ricezione della comunicazione di avvio del procedimento di revoca del contributo finanziario concesso.</w:t>
      </w:r>
    </w:p>
    <w:p>
      <w:pPr>
        <w:pStyle w:val="ListParagraph"/>
        <w:widowControl w:val="false"/>
        <w:numPr>
          <w:ilvl w:val="0"/>
          <w:numId w:val="10"/>
        </w:numPr>
        <w:spacing w:lineRule="auto" w:line="240" w:before="0" w:after="0"/>
        <w:contextualSpacing/>
        <w:jc w:val="both"/>
        <w:rPr>
          <w:rFonts w:ascii="Times New Roman" w:hAnsi="Times New Roman"/>
          <w:color w:val="000000"/>
        </w:rPr>
      </w:pPr>
      <w:r>
        <w:rPr>
          <w:rFonts w:ascii="Times New Roman" w:hAnsi="Times New Roman"/>
          <w:color w:val="000000"/>
        </w:rPr>
        <w:t>Nel caso in cui il ritardo di cui al precedente comma 2 dipenda da causa di forza maggiore comprovata, la Regione potrà consentire, su richiesta del Beneficiario e per singola fase, una proroga per non più di una volta dei termini stabiliti, ove possa ragionevolmente ritenersi che l'Operazione sia comunque destinata a essere completata, entrare in uso e funzionante con un ritardo complessivamente non superiore a 12 (dodici) mesi rispetto al termine originariamente previsto dal cronoprogramma dell’Operazione di cui al paragrafo 6 dell’Allegato al presente Disciplinare e sempreché:</w:t>
      </w:r>
    </w:p>
    <w:p>
      <w:pPr>
        <w:pStyle w:val="ListParagraph"/>
        <w:widowControl w:val="false"/>
        <w:numPr>
          <w:ilvl w:val="0"/>
          <w:numId w:val="11"/>
        </w:numPr>
        <w:spacing w:lineRule="auto" w:line="240" w:before="0" w:after="0"/>
        <w:contextualSpacing/>
        <w:jc w:val="both"/>
        <w:rPr>
          <w:rFonts w:ascii="Times New Roman" w:hAnsi="Times New Roman"/>
          <w:color w:val="000000"/>
        </w:rPr>
      </w:pPr>
      <w:r>
        <w:rPr>
          <w:rFonts w:ascii="Times New Roman" w:hAnsi="Times New Roman"/>
          <w:color w:val="000000"/>
        </w:rPr>
        <w:t xml:space="preserve"> </w:t>
      </w:r>
      <w:r>
        <w:rPr>
          <w:rFonts w:ascii="Times New Roman" w:hAnsi="Times New Roman"/>
          <w:color w:val="000000"/>
        </w:rPr>
        <w:t>il completamento dell’Operazione avvenga entro i termini disciplinati dalle pertinenti disposizioni comunitarie, nazionali e regionali;</w:t>
      </w:r>
    </w:p>
    <w:p>
      <w:pPr>
        <w:pStyle w:val="ListParagraph"/>
        <w:widowControl w:val="false"/>
        <w:numPr>
          <w:ilvl w:val="0"/>
          <w:numId w:val="11"/>
        </w:numPr>
        <w:spacing w:lineRule="auto" w:line="240" w:before="0" w:after="0"/>
        <w:contextualSpacing/>
        <w:jc w:val="both"/>
        <w:rPr>
          <w:rFonts w:ascii="Times New Roman" w:hAnsi="Times New Roman"/>
          <w:color w:val="000000"/>
        </w:rPr>
      </w:pPr>
      <w:r>
        <w:rPr>
          <w:rFonts w:ascii="Times New Roman" w:hAnsi="Times New Roman"/>
          <w:color w:val="000000"/>
        </w:rPr>
        <w:t>le relative spese possano essere sostenute e rendicontate, ai fini della relativa ammissibilità a rimborso, entro i termini disciplinati dalle pertinenti disposizioni comunitarie, nazionali e regionali.</w:t>
      </w:r>
    </w:p>
    <w:p>
      <w:pPr>
        <w:pStyle w:val="Normal"/>
        <w:spacing w:lineRule="auto" w:line="240" w:before="0" w:after="0"/>
        <w:rPr>
          <w:rFonts w:ascii="Times New Roman" w:hAnsi="Times New Roman"/>
        </w:rPr>
      </w:pPr>
      <w:r>
        <w:rPr>
          <w:rFonts w:ascii="Times New Roman" w:hAnsi="Times New Roman"/>
        </w:rPr>
      </w:r>
    </w:p>
    <w:p>
      <w:pPr>
        <w:pStyle w:val="Titolo5"/>
        <w:spacing w:lineRule="auto" w:line="240" w:before="0" w:after="0"/>
        <w:jc w:val="center"/>
        <w:rPr>
          <w:rFonts w:ascii="Times New Roman" w:hAnsi="Times New Roman"/>
          <w:b/>
          <w:b/>
        </w:rPr>
      </w:pPr>
      <w:r>
        <w:rPr>
          <w:rFonts w:ascii="Times New Roman" w:hAnsi="Times New Roman"/>
          <w:b/>
        </w:rPr>
        <w:t>Art. 4 – Affidamento di contratti pubblici finalizzati all’attuazione dell’operazione e gestione delle economie di gara</w:t>
      </w:r>
    </w:p>
    <w:p>
      <w:pPr>
        <w:pStyle w:val="Paragraph"/>
        <w:numPr>
          <w:ilvl w:val="0"/>
          <w:numId w:val="12"/>
        </w:numPr>
        <w:spacing w:beforeAutospacing="0" w:before="0" w:afterAutospacing="0" w:after="0"/>
        <w:ind w:left="426" w:hanging="0"/>
        <w:jc w:val="both"/>
        <w:rPr>
          <w:sz w:val="22"/>
          <w:szCs w:val="22"/>
        </w:rPr>
      </w:pPr>
      <w:r>
        <w:rPr>
          <w:rStyle w:val="Normaltextrun"/>
          <w:color w:val="000000"/>
          <w:sz w:val="22"/>
          <w:szCs w:val="22"/>
        </w:rPr>
        <w:t xml:space="preserve">A seguito dell’espletamento delle procedure di gara per l’affidamento dei lavori e/o del servizio e/o delle forniture, il Beneficiario </w:t>
      </w:r>
      <w:r>
        <w:rPr>
          <w:rStyle w:val="Normaltextrun"/>
          <w:sz w:val="22"/>
          <w:szCs w:val="22"/>
        </w:rPr>
        <w:t>alimenta il sistema informativo e ne trasmette comunicazione alla Regione, entro ___ (___) giorni dalla stipula del contratto. I documenti relativi provvedimenti di approvazione dell’aggiudicazione, unitamente al contratto,</w:t>
      </w:r>
      <w:r>
        <w:rPr>
          <w:rStyle w:val="Normaltextrun"/>
          <w:color w:val="000000"/>
          <w:sz w:val="22"/>
          <w:szCs w:val="22"/>
        </w:rPr>
        <w:t xml:space="preserve"> al cronoprogramma e al quadro economico rideterminato e approvato, redatto – per quanto attiene le spese ammissibili – con i criteri di cui all’art. 6 del presente Disciplinare</w:t>
      </w:r>
      <w:r>
        <w:rPr>
          <w:rStyle w:val="Normaltextrun"/>
          <w:sz w:val="22"/>
          <w:szCs w:val="22"/>
        </w:rPr>
        <w:t>, e con esplicita indicazione delle eventuali economie rinvenienti dai ribassi di gara (sia con riferimento all’importo a base d’asta, sia con riferimento alla voce dell’I.V.A. sulla prestazione oggetto di gara riportata tra le somme a disposizione) dovranno essere caricati nelle sezioni dedicate del sistema informativo.  </w:t>
      </w:r>
    </w:p>
    <w:p>
      <w:pPr>
        <w:pStyle w:val="Paragraph"/>
        <w:numPr>
          <w:ilvl w:val="0"/>
          <w:numId w:val="12"/>
        </w:numPr>
        <w:spacing w:beforeAutospacing="0" w:before="0" w:afterAutospacing="0" w:after="0"/>
        <w:ind w:left="426" w:hanging="0"/>
        <w:jc w:val="both"/>
        <w:rPr>
          <w:sz w:val="22"/>
          <w:szCs w:val="22"/>
        </w:rPr>
      </w:pPr>
      <w:r>
        <w:rPr>
          <w:rStyle w:val="Normaltextrun"/>
          <w:sz w:val="22"/>
          <w:szCs w:val="22"/>
        </w:rPr>
        <w:t>Nell’ipotesi in cui l’Operazione preveda la realizzazione di opere e/o l’acquisizione di servizi</w:t>
      </w:r>
      <w:r>
        <w:rPr>
          <w:rStyle w:val="Normaltextrun"/>
          <w:color w:val="000000"/>
          <w:sz w:val="22"/>
          <w:szCs w:val="22"/>
        </w:rPr>
        <w:t xml:space="preserve"> e/o forniture mediante l’espletamento di diverse procedure di gara, la documentazione di cui sopra deve </w:t>
      </w:r>
      <w:r>
        <w:rPr>
          <w:rStyle w:val="Normaltextrun"/>
          <w:sz w:val="22"/>
          <w:szCs w:val="22"/>
        </w:rPr>
        <w:t>essere caricata a sistema inoltrata a seguito dell’espletamento di ciascuna procedura ed entro ___ (___) giorni dalla stipula dei relativi contratti.  </w:t>
      </w:r>
    </w:p>
    <w:p>
      <w:pPr>
        <w:pStyle w:val="Paragraph"/>
        <w:numPr>
          <w:ilvl w:val="0"/>
          <w:numId w:val="12"/>
        </w:numPr>
        <w:spacing w:beforeAutospacing="0" w:before="0" w:afterAutospacing="0" w:after="0"/>
        <w:ind w:left="426" w:hanging="0"/>
        <w:jc w:val="both"/>
        <w:rPr>
          <w:sz w:val="22"/>
          <w:szCs w:val="22"/>
        </w:rPr>
      </w:pPr>
      <w:r>
        <w:rPr>
          <w:rStyle w:val="Normaltextrun"/>
          <w:sz w:val="22"/>
          <w:szCs w:val="22"/>
        </w:rPr>
        <w:t>Unitamente dalla documentazione di cui sopra, qualora non già inseriti trasmessi, il Beneficiario deve provvede al relativo inserimento nella sezione documentale di Caronte: </w:t>
      </w:r>
    </w:p>
    <w:p>
      <w:pPr>
        <w:pStyle w:val="Paragraph"/>
        <w:numPr>
          <w:ilvl w:val="0"/>
          <w:numId w:val="13"/>
        </w:numPr>
        <w:spacing w:beforeAutospacing="0" w:before="0" w:afterAutospacing="0" w:after="0"/>
        <w:ind w:left="426" w:hanging="0"/>
        <w:jc w:val="both"/>
        <w:rPr>
          <w:sz w:val="22"/>
          <w:szCs w:val="22"/>
        </w:rPr>
      </w:pPr>
      <w:r>
        <w:rPr>
          <w:rStyle w:val="Normaltextrun"/>
          <w:color w:val="000000"/>
          <w:sz w:val="22"/>
          <w:szCs w:val="22"/>
        </w:rPr>
        <w:t>nel caso di acquisizione di servizi o forniture: la documentazione completa (decreto a contrarre, bando/avviso, disciplinare di gara, capitolato d’appalto, progetto di servizi o forniture, perizia giurata estimativa del bene ecc.) prevista dalla disciplina nazionale e regionale per l’espletamento della procedura di affidamento del contratto pubblico;</w:t>
      </w:r>
      <w:r>
        <w:rPr>
          <w:rStyle w:val="Eop"/>
          <w:color w:val="000000"/>
          <w:sz w:val="22"/>
          <w:szCs w:val="22"/>
        </w:rPr>
        <w:t> </w:t>
      </w:r>
    </w:p>
    <w:p>
      <w:pPr>
        <w:pStyle w:val="Paragraph"/>
        <w:numPr>
          <w:ilvl w:val="0"/>
          <w:numId w:val="14"/>
        </w:numPr>
        <w:spacing w:beforeAutospacing="0" w:before="0" w:afterAutospacing="0" w:after="0"/>
        <w:ind w:left="426" w:hanging="0"/>
        <w:jc w:val="both"/>
        <w:rPr>
          <w:sz w:val="22"/>
          <w:szCs w:val="22"/>
        </w:rPr>
      </w:pPr>
      <w:r>
        <w:rPr>
          <w:rStyle w:val="Normaltextrun"/>
          <w:color w:val="000000"/>
          <w:sz w:val="22"/>
          <w:szCs w:val="22"/>
        </w:rPr>
        <w:t>nel caso di OOPP: la documentazione completa (decreto a contrarre, bando/avviso, disciplinare di gara, capitolato d’appalto, ecc.) prevista dalla disciplina nazionale e regionale per l’espletamento della procedura di affidamento del contratto pubblico, ivi compreso, se non già inserito, il progetto esecutivo dell’operazione, munito di tutti i pareri e i nulla osta previsti dalla normativa nazionale in materia di OOPP.</w:t>
      </w:r>
    </w:p>
    <w:p>
      <w:pPr>
        <w:pStyle w:val="Paragraph"/>
        <w:spacing w:beforeAutospacing="0" w:before="0" w:afterAutospacing="0" w:after="0"/>
        <w:ind w:left="360" w:hanging="0"/>
        <w:jc w:val="both"/>
        <w:rPr>
          <w:rStyle w:val="Normaltextrun"/>
          <w:color w:val="000000"/>
          <w:sz w:val="22"/>
          <w:szCs w:val="22"/>
        </w:rPr>
      </w:pPr>
      <w:r>
        <w:rPr>
          <w:rStyle w:val="Normaltextrun"/>
          <w:color w:val="000000"/>
          <w:sz w:val="22"/>
          <w:szCs w:val="22"/>
        </w:rPr>
        <w:t>4. Le economie di gara, ossia le risorse rinvenienti dai ribassi presentati in sede di procedure di gara, non possono essere utilizzate direttamente dal Beneficiario per finanziare spese all’interno del quadro economico dello stesso intervento oggetto della procedura di affidamento e neppure per la copertura dei maggiori costi connessi alla necessità di fronteggiare gli aumenti eccezionali dei prezzi dei materiali da costruzione, nonché dei carburanti e dei prodotti energetici di cui all’art.26 del D.L. 50/2022 o altre analoghe disposizioni normative, nei limiti e con le modalità stabilite dalle medesime disposizioni normative. Il beneficiario assume la diretta responsabilità dell’esecuzione dell’intervento, che deve essere realizzato in aderenza al quadro economico complessivo e al progetto e alle eventuali variazioni che si rendesse necessario adottare, sempre che le stesse rientrino tra i tassativi casi e nei limiti previsti dalla vigente normativa. Anche tale documentazione relativa all’utilizzo delle economie deve essere caricata sul sistema informativo</w:t>
      </w:r>
    </w:p>
    <w:p>
      <w:pPr>
        <w:pStyle w:val="Normal"/>
        <w:widowControl w:val="false"/>
        <w:spacing w:lineRule="auto" w:line="240" w:before="0" w:after="0"/>
        <w:ind w:firstLine="709"/>
        <w:jc w:val="left"/>
        <w:rPr>
          <w:rFonts w:ascii="Times New Roman" w:hAnsi="Times New Roman" w:eastAsia="Times New Roman"/>
          <w:lang w:eastAsia="it-IT"/>
        </w:rPr>
      </w:pPr>
      <w:r>
        <w:rPr>
          <w:rFonts w:eastAsia="Times New Roman" w:ascii="Times New Roman" w:hAnsi="Times New Roman"/>
          <w:lang w:eastAsia="it-IT"/>
        </w:rPr>
      </w:r>
    </w:p>
    <w:p>
      <w:pPr>
        <w:pStyle w:val="Titolo5"/>
        <w:spacing w:lineRule="auto" w:line="240" w:before="0" w:after="0"/>
        <w:jc w:val="center"/>
        <w:rPr>
          <w:rFonts w:ascii="Times New Roman" w:hAnsi="Times New Roman"/>
          <w:b/>
          <w:b/>
        </w:rPr>
      </w:pPr>
      <w:r>
        <w:rPr>
          <w:rFonts w:ascii="Times New Roman" w:hAnsi="Times New Roman"/>
          <w:b/>
        </w:rPr>
        <w:t>Art. 5 – Profilo pluriennale di impegni e pagamenti</w:t>
      </w:r>
    </w:p>
    <w:p>
      <w:pPr>
        <w:pStyle w:val="ListParagraph"/>
        <w:widowControl w:val="false"/>
        <w:numPr>
          <w:ilvl w:val="0"/>
          <w:numId w:val="15"/>
        </w:numPr>
        <w:spacing w:lineRule="auto" w:line="240" w:before="0" w:after="0"/>
        <w:contextualSpacing/>
        <w:jc w:val="both"/>
        <w:rPr>
          <w:rFonts w:ascii="Times New Roman" w:hAnsi="Times New Roman"/>
          <w:color w:val="000000"/>
        </w:rPr>
      </w:pPr>
      <w:r>
        <w:rPr>
          <w:rFonts w:ascii="Times New Roman" w:hAnsi="Times New Roman"/>
          <w:color w:val="000000"/>
        </w:rPr>
        <w:t>Il Beneficiario si impegna al rispetto del profilo pluriennale di impegni e pagamenti di cui al paragrafo 8 dell’Allegato al presente Disciplinare.</w:t>
      </w:r>
    </w:p>
    <w:p>
      <w:pPr>
        <w:pStyle w:val="ListParagraph"/>
        <w:widowControl w:val="false"/>
        <w:numPr>
          <w:ilvl w:val="0"/>
          <w:numId w:val="15"/>
        </w:numPr>
        <w:spacing w:lineRule="auto" w:line="240" w:before="0" w:after="0"/>
        <w:contextualSpacing/>
        <w:jc w:val="both"/>
        <w:rPr>
          <w:rFonts w:ascii="Times New Roman" w:hAnsi="Times New Roman"/>
          <w:color w:val="000000"/>
        </w:rPr>
      </w:pPr>
      <w:r>
        <w:rPr>
          <w:rFonts w:ascii="Times New Roman" w:hAnsi="Times New Roman"/>
          <w:color w:val="000000"/>
        </w:rPr>
        <w:t>Nel caso di mancato rispetto dei termini temporali di impegno e spesa per ciascuna annualità, così come riveniente dal sistema di monitoraggio economico, finanziario, fisico e procedurale Caronte o comunque accertato dalla Regione, quest’ultima si riserva di avviare il procedimento di revoca del contributo finanziario concesso, salvo che il ritardo dipenda da causa di forza maggiore comprovata, da dimostrarsi dal Beneficiario entro ___(_____) giorni dalla ricezione della comunicazione di avvio del procedimento di revoca del contributo finanziario concesso. Si applica, al riguardo, quanto previsto dal comma 3 del precedente art. 3.</w:t>
      </w:r>
    </w:p>
    <w:p>
      <w:pPr>
        <w:pStyle w:val="Normal"/>
        <w:widowControl w:val="false"/>
        <w:spacing w:lineRule="auto" w:line="240" w:before="0" w:after="0"/>
        <w:ind w:firstLine="709"/>
        <w:jc w:val="left"/>
        <w:rPr>
          <w:rFonts w:ascii="Times New Roman" w:hAnsi="Times New Roman"/>
          <w:color w:val="000000"/>
        </w:rPr>
      </w:pPr>
      <w:r>
        <w:rPr>
          <w:rFonts w:ascii="Times New Roman" w:hAnsi="Times New Roman"/>
          <w:color w:val="000000"/>
        </w:rPr>
      </w:r>
    </w:p>
    <w:p>
      <w:pPr>
        <w:pStyle w:val="Titolo5"/>
        <w:spacing w:lineRule="auto" w:line="240" w:before="0" w:after="0"/>
        <w:jc w:val="center"/>
        <w:rPr>
          <w:rFonts w:ascii="Times New Roman" w:hAnsi="Times New Roman"/>
          <w:b/>
          <w:b/>
        </w:rPr>
      </w:pPr>
      <w:r>
        <w:rPr>
          <w:rFonts w:ascii="Times New Roman" w:hAnsi="Times New Roman"/>
          <w:b/>
        </w:rPr>
        <w:t>Art. 6 – Spese ammissibili</w:t>
      </w:r>
    </w:p>
    <w:p>
      <w:pPr>
        <w:pStyle w:val="ListParagraph"/>
        <w:widowControl w:val="false"/>
        <w:numPr>
          <w:ilvl w:val="0"/>
          <w:numId w:val="17"/>
        </w:numPr>
        <w:spacing w:lineRule="auto" w:line="240" w:before="0" w:after="0"/>
        <w:contextualSpacing/>
        <w:jc w:val="both"/>
        <w:rPr>
          <w:rFonts w:ascii="Times New Roman" w:hAnsi="Times New Roman"/>
          <w:color w:val="000000"/>
        </w:rPr>
      </w:pPr>
      <w:r>
        <w:rPr>
          <w:rFonts w:ascii="Times New Roman" w:hAnsi="Times New Roman"/>
          <w:color w:val="000000"/>
        </w:rPr>
        <w:t>L’importo del contributo finanziario definitivamente concesso costituisce l’importo massimo a disposizione del Beneficiario ed è invariabile in aumento.</w:t>
      </w:r>
    </w:p>
    <w:p>
      <w:pPr>
        <w:pStyle w:val="ListParagraph"/>
        <w:widowControl w:val="false"/>
        <w:numPr>
          <w:ilvl w:val="0"/>
          <w:numId w:val="17"/>
        </w:numPr>
        <w:spacing w:lineRule="auto" w:line="240" w:before="0" w:after="0"/>
        <w:contextualSpacing/>
        <w:jc w:val="both"/>
        <w:rPr>
          <w:rFonts w:ascii="Times New Roman" w:hAnsi="Times New Roman"/>
          <w:color w:val="000000"/>
        </w:rPr>
      </w:pPr>
      <w:r>
        <w:rPr>
          <w:rFonts w:ascii="Times New Roman" w:hAnsi="Times New Roman"/>
          <w:color w:val="000000"/>
        </w:rPr>
        <w:t>Le spese ammissibili a contributo finanziario sono quelle definite, nel rispetto delle vigenti disposizioni comunitarie, nazionali e regionali, nel Programma e nella programmazione attuativa dell’Azione vigente al momento della pubblicazione dell’Avviso per la selezione delle operazioni da ammettere a contribuzione finanziaria.</w:t>
      </w:r>
    </w:p>
    <w:p>
      <w:pPr>
        <w:pStyle w:val="ListParagraph"/>
        <w:widowControl w:val="false"/>
        <w:numPr>
          <w:ilvl w:val="0"/>
          <w:numId w:val="17"/>
        </w:numPr>
        <w:spacing w:lineRule="auto" w:line="240" w:before="0" w:after="0"/>
        <w:contextualSpacing/>
        <w:jc w:val="both"/>
        <w:rPr>
          <w:rFonts w:ascii="Times New Roman" w:hAnsi="Times New Roman"/>
          <w:color w:val="000000"/>
        </w:rPr>
      </w:pPr>
      <w:r>
        <w:rPr>
          <w:rFonts w:ascii="Times New Roman" w:hAnsi="Times New Roman"/>
        </w:rPr>
        <w:t xml:space="preserve">Nel solo caso di realizzazione di OOPP </w:t>
      </w:r>
      <w:r>
        <w:rPr>
          <w:rFonts w:ascii="Times New Roman" w:hAnsi="Times New Roman"/>
          <w:color w:val="000000"/>
        </w:rPr>
        <w:t>sono ammissibili le seguenti categorie di spesa:</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esecuzione dei lavori relativi alle opere, agli impianti, acquisto delle forniture e dei servizi connessi all’esecuzione stessa;</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acquisizione di immobili necessari per la realizzazione dell’opera nei limiti di quanto previsto ai successivi commi 5 e 6;</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indennità e contributi dovuti ad enti pubblici e privati come per legge (permessi, concessioni, autorizzazioni e/o altri atti e provvedimenti, comunque denominati, finalizzati all’esecuzione delle opere);</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spese generali;_</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per spese generali, da prevedere nel quadro economico tra le somme a disposizione del Beneficiario, si intendono quelle relative alle seguenti voci previste dalla normativa vigente in materia di appalti:</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____</w:t>
      </w:r>
    </w:p>
    <w:p>
      <w:pPr>
        <w:pStyle w:val="ListParagraph"/>
        <w:widowControl w:val="false"/>
        <w:numPr>
          <w:ilvl w:val="0"/>
          <w:numId w:val="16"/>
        </w:numPr>
        <w:spacing w:lineRule="auto" w:line="240" w:before="0" w:after="0"/>
        <w:contextualSpacing/>
        <w:jc w:val="both"/>
        <w:rPr>
          <w:rFonts w:ascii="Times New Roman" w:hAnsi="Times New Roman"/>
          <w:color w:val="000000"/>
        </w:rPr>
      </w:pPr>
      <w:r>
        <w:rPr>
          <w:rFonts w:ascii="Times New Roman" w:hAnsi="Times New Roman"/>
          <w:color w:val="000000"/>
        </w:rPr>
        <w:t>____</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le spese di esproprio e di acquisizione delle aree non edificate, ammissibili in presenza della sussistenza di un nesso diretto fra l’acquisizione delle aree e l’infrastruttura da realizzare, non possono superare il ___% del totale del contributo definitivamente erogato.</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le spese per acquisto di edifici già costruiti sono ammissibili purché siano direttamene connesse alla realizzazione dell’Operazione ed esclusivamente nei limiti e alle condizioni di cui alle vigenti disposizioni comunitarie, nazionali e regionali.</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le spese per rilievi, accertamenti e indagini, ivi comprese quelle geologiche e geotecniche non a carico del progettista, né necessarie alla redazione della relazione geologica, da prevedere nel quadro economico tra le somme a disposizione del Beneficiario, non possono superare il ___ % della spesa totale ammissibile dell’Operazione.</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Nel solo caso di realizzazione di OOPP: eventuali maggiori oneri che si dovessero verificare a titolo di spese generali o di acquisizione di immobili o di somme a disposizione del Beneficiario, rispetto a quelli precedentemente indicati ai commi 4, 5, 6 e 7, resteranno a carico del Beneficiario.</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Restano escluse dall'ammissibilità le spese per ammende, penali e controversie legali, nonché i maggiori oneri derivanti dalla risoluzione delle controversie sorte con l'impresa aggiudicataria, compresi gli accordi bonari e gli interessi per ritardati pagamenti.</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 xml:space="preserve"> </w:t>
      </w:r>
      <w:r>
        <w:rPr>
          <w:rFonts w:ascii="Times New Roman" w:hAnsi="Times New Roman"/>
        </w:rPr>
        <w:t>L’imposta sul valore aggiunto (IVA) è una spesa ammissibile solo se non sia recuperabile.</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Per tutte le spese non specificate nel presente articolo o per la migliore specificazione di quelle indicate, si fa rinvio alle disposizioni di cui alle vigenti disposizioni comunitarie, nazionali e regionali.</w:t>
      </w:r>
    </w:p>
    <w:p>
      <w:pPr>
        <w:pStyle w:val="ListParagraph"/>
        <w:widowControl w:val="false"/>
        <w:numPr>
          <w:ilvl w:val="0"/>
          <w:numId w:val="17"/>
        </w:numPr>
        <w:spacing w:lineRule="auto" w:line="240" w:before="0" w:after="0"/>
        <w:contextualSpacing/>
        <w:jc w:val="both"/>
        <w:rPr>
          <w:rFonts w:ascii="Times New Roman" w:hAnsi="Times New Roman"/>
        </w:rPr>
      </w:pPr>
      <w:r>
        <w:rPr>
          <w:rFonts w:ascii="Times New Roman" w:hAnsi="Times New Roman"/>
        </w:rPr>
        <w:t>Restano in ogni caso escluse e non potranno pertanto essere rimborsate tutte le spese non ammissibili a termini delle vigenti disposizioni comunitarie, nazionali e regionali.</w:t>
      </w:r>
    </w:p>
    <w:p>
      <w:pPr>
        <w:pStyle w:val="Normal"/>
        <w:widowControl w:val="false"/>
        <w:spacing w:lineRule="auto" w:line="240" w:before="0" w:after="0"/>
        <w:rPr>
          <w:rFonts w:ascii="Times New Roman" w:hAnsi="Times New Roman"/>
          <w:color w:val="000000"/>
        </w:rPr>
      </w:pPr>
      <w:r>
        <w:rPr>
          <w:rFonts w:ascii="Times New Roman" w:hAnsi="Times New Roman"/>
          <w:color w:val="000000"/>
        </w:rPr>
      </w:r>
    </w:p>
    <w:p>
      <w:pPr>
        <w:pStyle w:val="Titolo5"/>
        <w:spacing w:lineRule="auto" w:line="240" w:before="0" w:after="0"/>
        <w:jc w:val="center"/>
        <w:rPr>
          <w:rFonts w:ascii="Times New Roman" w:hAnsi="Times New Roman"/>
          <w:b/>
          <w:b/>
        </w:rPr>
      </w:pPr>
      <w:r>
        <w:rPr>
          <w:rFonts w:ascii="Times New Roman" w:hAnsi="Times New Roman"/>
          <w:b/>
        </w:rPr>
        <w:t>Art. 7 – Modalità di erogazione del contributo finanziario</w:t>
      </w:r>
    </w:p>
    <w:p>
      <w:pPr>
        <w:pStyle w:val="Normal"/>
        <w:numPr>
          <w:ilvl w:val="0"/>
          <w:numId w:val="19"/>
        </w:numPr>
        <w:spacing w:lineRule="auto" w:line="240" w:before="0" w:after="0"/>
        <w:ind w:left="426" w:hanging="426"/>
        <w:jc w:val="both"/>
        <w:rPr>
          <w:rFonts w:ascii="Times New Roman" w:hAnsi="Times New Roman"/>
        </w:rPr>
      </w:pPr>
      <w:r>
        <w:rPr>
          <w:rFonts w:ascii="Times New Roman" w:hAnsi="Times New Roman"/>
          <w:color w:val="000000"/>
        </w:rPr>
        <w:t xml:space="preserve">L’erogazione delle risorse ai beneficiari avviene tramite un numero predefinito di trasferimenti in anticipazione; il trasferimento di ogni anticipazione è condizionato alla rendicontazione da parte dei beneficiari per il tramite di Caronte, con il monitoraggio dei dati finanziari, fisici e procedurali registrati e validati sul sistema, del 90% delle risorse anticipate. </w:t>
      </w:r>
    </w:p>
    <w:p>
      <w:pPr>
        <w:pStyle w:val="Normal"/>
        <w:numPr>
          <w:ilvl w:val="0"/>
          <w:numId w:val="19"/>
        </w:numPr>
        <w:spacing w:lineRule="auto" w:line="240" w:before="0" w:after="0"/>
        <w:ind w:left="426" w:hanging="426"/>
        <w:jc w:val="both"/>
        <w:rPr>
          <w:rFonts w:ascii="Times New Roman" w:hAnsi="Times New Roman"/>
        </w:rPr>
      </w:pPr>
      <w:r>
        <w:rPr>
          <w:rFonts w:ascii="Times New Roman" w:hAnsi="Times New Roman"/>
          <w:color w:val="000000"/>
        </w:rPr>
        <w:t>L’erogazione delle risorse per operazioni afferenti ad opere pubbliche e beni e servizi sopra soglia avviene secondo le modalità di seguito indicate:</w:t>
      </w:r>
    </w:p>
    <w:p>
      <w:pPr>
        <w:pStyle w:val="Normale1"/>
        <w:numPr>
          <w:ilvl w:val="0"/>
          <w:numId w:val="18"/>
        </w:numPr>
        <w:pBdr/>
        <w:tabs>
          <w:tab w:val="clear" w:pos="708"/>
          <w:tab w:val="left" w:pos="2350" w:leader="none"/>
        </w:tabs>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prima rata di anticipazione, la cui percentuale è fissata al 10% del finanziamento concesso, erogata al momento del Decreto di finanziamento e impegno e sottoscrizione del Disciplinare di finanziamento per consentire l’avvio tempestivo dell’operazione in conformità con la norma applicabile alla fattispecie;</w:t>
        <w:tab/>
      </w:r>
    </w:p>
    <w:p>
      <w:pPr>
        <w:pStyle w:val="Normale1"/>
        <w:numPr>
          <w:ilvl w:val="0"/>
          <w:numId w:val="18"/>
        </w:numPr>
        <w:pBdr/>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 xml:space="preserve">seconda rata di anticipazione del 20% del finanziamento come rideterminato dall’UCO a seguito di procedura di evidenza pubblica, in coerenza con il Q.T.E. </w:t>
      </w:r>
      <w:r>
        <w:rPr>
          <w:rFonts w:cs="Times New Roman" w:ascii="Times New Roman" w:hAnsi="Times New Roman"/>
          <w:i/>
          <w:iCs/>
          <w:color w:val="000000"/>
          <w:sz w:val="22"/>
          <w:szCs w:val="22"/>
        </w:rPr>
        <w:t>post</w:t>
      </w:r>
      <w:r>
        <w:rPr>
          <w:rFonts w:cs="Times New Roman" w:ascii="Times New Roman" w:hAnsi="Times New Roman"/>
          <w:color w:val="000000"/>
          <w:sz w:val="22"/>
          <w:szCs w:val="22"/>
        </w:rPr>
        <w:t xml:space="preserve"> gara, erogata successivamente all’aggiudicazione della gara d’appalto dei lavori (ovvero dei beni e servizi, ove l’operazione non preveda opere pubbliche). Tale anticipazione, sommata a quella già erogata (prima rata), non deve superare la misura del 30% del finanziamento concesso, come rimodulato a seguito dell’espletamento della procedura ad evidenza pubblica;</w:t>
      </w:r>
    </w:p>
    <w:p>
      <w:pPr>
        <w:pStyle w:val="Normale1"/>
        <w:numPr>
          <w:ilvl w:val="0"/>
          <w:numId w:val="18"/>
        </w:numPr>
        <w:pBdr/>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terza rata di anticipazione del 20% del finanziamento rideterminato, previa rendicontazione del 90% dell'ammontare delle erogazioni complessive già effettuate;</w:t>
      </w:r>
    </w:p>
    <w:p>
      <w:pPr>
        <w:pStyle w:val="Normale1"/>
        <w:numPr>
          <w:ilvl w:val="0"/>
          <w:numId w:val="18"/>
        </w:numPr>
        <w:pBdr/>
        <w:spacing w:before="120" w:after="0"/>
        <w:jc w:val="both"/>
        <w:rPr>
          <w:rFonts w:ascii="Times New Roman" w:hAnsi="Times New Roman" w:cs="Times New Roman"/>
          <w:color w:val="000000"/>
          <w:sz w:val="22"/>
          <w:szCs w:val="22"/>
        </w:rPr>
      </w:pPr>
      <w:r>
        <w:rPr>
          <w:rFonts w:cs="Times New Roman" w:ascii="Times New Roman" w:hAnsi="Times New Roman"/>
          <w:color w:val="000000"/>
          <w:sz w:val="22"/>
          <w:szCs w:val="22"/>
        </w:rPr>
        <w:t>quarta rata di anticipazione del 20% del finanziamento rideterminato, previa rendicontazione del 90% dell'ammontare delle erogazioni complessive già effettuate;</w:t>
      </w:r>
    </w:p>
    <w:p>
      <w:pPr>
        <w:pStyle w:val="Normale1"/>
        <w:numPr>
          <w:ilvl w:val="0"/>
          <w:numId w:val="18"/>
        </w:numPr>
        <w:pBdr/>
        <w:spacing w:before="120" w:after="120"/>
        <w:jc w:val="both"/>
        <w:rPr>
          <w:rFonts w:ascii="Times New Roman" w:hAnsi="Times New Roman" w:cs="Times New Roman"/>
          <w:color w:val="000000"/>
          <w:sz w:val="22"/>
          <w:szCs w:val="22"/>
        </w:rPr>
      </w:pPr>
      <w:r>
        <w:rPr>
          <w:rFonts w:cs="Times New Roman" w:ascii="Times New Roman" w:hAnsi="Times New Roman"/>
          <w:color w:val="000000"/>
          <w:sz w:val="22"/>
          <w:szCs w:val="22"/>
        </w:rPr>
        <w:t>quinta rata di anticipazione del 20% del finanziamento rideterminato, previa rendicontazione del 90% dell'ammontare delle erogazioni complessive già effettuate.</w:t>
      </w:r>
    </w:p>
    <w:tbl>
      <w:tblPr>
        <w:tblW w:w="8505" w:type="dxa"/>
        <w:jc w:val="center"/>
        <w:tblInd w:w="0" w:type="dxa"/>
        <w:tblCellMar>
          <w:top w:w="0" w:type="dxa"/>
          <w:left w:w="108" w:type="dxa"/>
          <w:bottom w:w="0" w:type="dxa"/>
          <w:right w:w="108" w:type="dxa"/>
        </w:tblCellMar>
        <w:tblLook w:firstRow="1" w:noVBand="1" w:lastRow="0" w:firstColumn="1" w:lastColumn="0" w:noHBand="0" w:val="04a0"/>
      </w:tblPr>
      <w:tblGrid>
        <w:gridCol w:w="2127"/>
        <w:gridCol w:w="2126"/>
        <w:gridCol w:w="2125"/>
        <w:gridCol w:w="2126"/>
      </w:tblGrid>
      <w:tr>
        <w:trPr>
          <w:trHeight w:val="931" w:hRule="atLeast"/>
        </w:trPr>
        <w:tc>
          <w:tcPr>
            <w:tcW w:w="2127" w:type="dxa"/>
            <w:tcBorders>
              <w:bottom w:val="single" w:sz="4" w:space="0" w:color="000000"/>
              <w:right w:val="single" w:sz="4" w:space="0" w:color="000000"/>
            </w:tcBorders>
          </w:tcPr>
          <w:p>
            <w:pPr>
              <w:pStyle w:val="Normale1"/>
              <w:spacing w:before="0" w:after="120"/>
              <w:jc w:val="both"/>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r>
          </w:p>
        </w:tc>
        <w:tc>
          <w:tcPr>
            <w:tcW w:w="2126" w:type="dxa"/>
            <w:tcBorders>
              <w:top w:val="single" w:sz="4" w:space="0" w:color="000000"/>
              <w:left w:val="single" w:sz="4" w:space="0" w:color="000000"/>
              <w:bottom w:val="single" w:sz="4" w:space="0" w:color="000000"/>
              <w:right w:val="single" w:sz="4" w:space="0" w:color="000000"/>
            </w:tcBorders>
            <w:shd w:color="FFFFFF" w:fill="D9D9D9" w:val="clear"/>
            <w:vAlign w:val="center"/>
          </w:tcPr>
          <w:p>
            <w:pPr>
              <w:pStyle w:val="Normale1"/>
              <w:spacing w:before="0" w:after="120"/>
              <w:jc w:val="center"/>
              <w:rPr>
                <w:rFonts w:ascii="Times New Roman" w:hAnsi="Times New Roman" w:cs="Times New Roman"/>
                <w:b/>
                <w:b/>
                <w:color w:val="000000"/>
                <w:sz w:val="22"/>
                <w:szCs w:val="22"/>
                <w:lang w:eastAsia="en-US"/>
              </w:rPr>
            </w:pPr>
            <w:r>
              <w:rPr>
                <w:rFonts w:cs="Times New Roman" w:ascii="Times New Roman" w:hAnsi="Times New Roman"/>
                <w:b/>
                <w:color w:val="000000"/>
                <w:sz w:val="22"/>
                <w:szCs w:val="22"/>
                <w:lang w:eastAsia="en-US"/>
              </w:rPr>
              <w:t>Trasferimento UCO</w:t>
            </w:r>
          </w:p>
        </w:tc>
        <w:tc>
          <w:tcPr>
            <w:tcW w:w="2125" w:type="dxa"/>
            <w:tcBorders>
              <w:top w:val="single" w:sz="4" w:space="0" w:color="000000"/>
              <w:left w:val="single" w:sz="4" w:space="0" w:color="000000"/>
              <w:bottom w:val="single" w:sz="4" w:space="0" w:color="000000"/>
              <w:right w:val="single" w:sz="4" w:space="0" w:color="000000"/>
            </w:tcBorders>
            <w:shd w:color="FFFFFF" w:fill="D9D9D9" w:val="clear"/>
            <w:vAlign w:val="center"/>
          </w:tcPr>
          <w:p>
            <w:pPr>
              <w:pStyle w:val="Normale1"/>
              <w:spacing w:before="0" w:after="120"/>
              <w:jc w:val="center"/>
              <w:rPr>
                <w:rFonts w:ascii="Times New Roman" w:hAnsi="Times New Roman" w:cs="Times New Roman"/>
                <w:b/>
                <w:b/>
                <w:color w:val="000000"/>
                <w:sz w:val="22"/>
                <w:szCs w:val="22"/>
                <w:lang w:eastAsia="en-US"/>
              </w:rPr>
            </w:pPr>
            <w:r>
              <w:rPr>
                <w:rFonts w:cs="Times New Roman" w:ascii="Times New Roman" w:hAnsi="Times New Roman"/>
                <w:b/>
                <w:color w:val="000000"/>
                <w:sz w:val="22"/>
                <w:szCs w:val="22"/>
                <w:lang w:eastAsia="en-US"/>
              </w:rPr>
              <w:t>Trasferimenti cumulati</w:t>
            </w:r>
          </w:p>
        </w:tc>
        <w:tc>
          <w:tcPr>
            <w:tcW w:w="2126" w:type="dxa"/>
            <w:tcBorders>
              <w:top w:val="single" w:sz="4" w:space="0" w:color="000000"/>
              <w:left w:val="single" w:sz="4" w:space="0" w:color="000000"/>
              <w:bottom w:val="single" w:sz="4" w:space="0" w:color="000000"/>
              <w:right w:val="single" w:sz="4" w:space="0" w:color="000000"/>
            </w:tcBorders>
            <w:shd w:color="FFFFFF" w:fill="D9D9D9" w:val="clear"/>
            <w:vAlign w:val="center"/>
          </w:tcPr>
          <w:p>
            <w:pPr>
              <w:pStyle w:val="Normale1"/>
              <w:spacing w:before="0" w:after="120"/>
              <w:jc w:val="center"/>
              <w:rPr>
                <w:rFonts w:ascii="Times New Roman" w:hAnsi="Times New Roman" w:cs="Times New Roman"/>
                <w:b/>
                <w:b/>
                <w:color w:val="000000"/>
                <w:sz w:val="22"/>
                <w:szCs w:val="22"/>
                <w:lang w:eastAsia="en-US"/>
              </w:rPr>
            </w:pPr>
            <w:r>
              <w:rPr>
                <w:rFonts w:cs="Times New Roman" w:ascii="Times New Roman" w:hAnsi="Times New Roman"/>
                <w:b/>
                <w:color w:val="000000"/>
                <w:sz w:val="22"/>
                <w:szCs w:val="22"/>
                <w:lang w:eastAsia="en-US"/>
              </w:rPr>
              <w:t>Rendicontazione cumulata del Beneficiario</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10%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10%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II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30%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III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50%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27%</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IV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70%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45%</w:t>
            </w:r>
          </w:p>
        </w:tc>
      </w:tr>
      <w:tr>
        <w:trPr/>
        <w:tc>
          <w:tcPr>
            <w:tcW w:w="2127"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i/>
                <w:i/>
                <w:color w:val="000000"/>
                <w:sz w:val="22"/>
                <w:szCs w:val="22"/>
                <w:lang w:eastAsia="en-US"/>
              </w:rPr>
            </w:pPr>
            <w:r>
              <w:rPr>
                <w:rFonts w:cs="Times New Roman" w:ascii="Times New Roman" w:hAnsi="Times New Roman"/>
                <w:i/>
                <w:color w:val="000000"/>
                <w:sz w:val="22"/>
                <w:szCs w:val="22"/>
                <w:lang w:eastAsia="en-US"/>
              </w:rPr>
              <w:t>V Anticipazione</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20%</w:t>
            </w:r>
          </w:p>
        </w:tc>
        <w:tc>
          <w:tcPr>
            <w:tcW w:w="2125"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90%</w:t>
            </w:r>
          </w:p>
        </w:tc>
        <w:tc>
          <w:tcPr>
            <w:tcW w:w="2126" w:type="dxa"/>
            <w:tcBorders>
              <w:top w:val="single" w:sz="4" w:space="0" w:color="000000"/>
              <w:left w:val="single" w:sz="4" w:space="0" w:color="000000"/>
              <w:bottom w:val="single" w:sz="4" w:space="0" w:color="000000"/>
              <w:right w:val="single" w:sz="4" w:space="0" w:color="000000"/>
            </w:tcBorders>
            <w:vAlign w:val="center"/>
          </w:tcPr>
          <w:p>
            <w:pPr>
              <w:pStyle w:val="Normale1"/>
              <w:spacing w:before="0" w:after="120"/>
              <w:jc w:val="center"/>
              <w:rPr>
                <w:rFonts w:ascii="Times New Roman" w:hAnsi="Times New Roman" w:cs="Times New Roman"/>
                <w:color w:val="000000"/>
                <w:sz w:val="22"/>
                <w:szCs w:val="22"/>
                <w:lang w:eastAsia="en-US"/>
              </w:rPr>
            </w:pPr>
            <w:r>
              <w:rPr>
                <w:rFonts w:cs="Times New Roman" w:ascii="Times New Roman" w:hAnsi="Times New Roman"/>
                <w:color w:val="000000"/>
                <w:sz w:val="22"/>
                <w:szCs w:val="22"/>
                <w:lang w:eastAsia="en-US"/>
              </w:rPr>
              <w:t>63%</w:t>
            </w:r>
          </w:p>
        </w:tc>
      </w:tr>
    </w:tbl>
    <w:p>
      <w:pPr>
        <w:pStyle w:val="Normale1"/>
        <w:pBdr/>
        <w:spacing w:before="120" w:after="120"/>
        <w:jc w:val="both"/>
        <w:rPr>
          <w:rFonts w:ascii="Times New Roman" w:hAnsi="Times New Roman" w:cs="Times New Roman"/>
          <w:color w:val="000000"/>
          <w:sz w:val="22"/>
          <w:szCs w:val="22"/>
        </w:rPr>
      </w:pPr>
      <w:r>
        <w:rPr>
          <w:rFonts w:cs="Times New Roman" w:ascii="Times New Roman" w:hAnsi="Times New Roman"/>
          <w:color w:val="000000"/>
          <w:sz w:val="22"/>
          <w:szCs w:val="22"/>
        </w:rPr>
        <w:t>Il saldo finale, pari al valore delle spese ancora da sostenere, può essere richiesto dal beneficiario solo dopo aver rendicontato il 100% della spesa dell’operazione con evidenza di fatture quietanzate o, nel caso di applicazione di OSC, al completamento dell’operazione e con l’avvenuta dimostrazione del rispetto delle condizioni previste per l’erogazione.</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8 - Rendicontazione </w:t>
      </w:r>
    </w:p>
    <w:p>
      <w:pPr>
        <w:pStyle w:val="Normal"/>
        <w:numPr>
          <w:ilvl w:val="0"/>
          <w:numId w:val="2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Il Beneficiario è tenuto a rendicontare la spesa sostenuta e quietanzata tramite il sistema di monitoraggio economico, finanziario, fisico e procedurale Caronte, messo a disposizione dalla Regione, utilizzando le credenziali ricevute unitamente alla notifica del Decreto di finanziamento, ovvero attraverso l’utilizzo di appositi moduli di modelli messi a disposizione dalla Regione. </w:t>
      </w:r>
    </w:p>
    <w:p>
      <w:pPr>
        <w:pStyle w:val="Normal"/>
        <w:numPr>
          <w:ilvl w:val="0"/>
          <w:numId w:val="2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 xml:space="preserve">Tutte le dichiarazioni previste </w:t>
      </w:r>
      <w:r>
        <w:rPr>
          <w:rFonts w:eastAsia="Times New Roman" w:ascii="Times New Roman" w:hAnsi="Times New Roman"/>
          <w:lang w:eastAsia="it-IT"/>
        </w:rPr>
        <w:t>e richieste</w:t>
      </w:r>
      <w:r>
        <w:rPr>
          <w:rFonts w:eastAsia="Times New Roman" w:ascii="Times New Roman" w:hAnsi="Times New Roman"/>
          <w:color w:val="000000"/>
          <w:lang w:eastAsia="it-IT"/>
        </w:rPr>
        <w:t xml:space="preserve"> per il riconoscimento delle spese e l’erogazione del contributo finanziario devono essere rilasciate dal legale rappresentante del Beneficiario, o da persona da questi delegata con apposita procura – da allegare in originale o copia conforme all’attestazione – ai sensi e con le modalità di cui al D.P.R. n. 445/2000 e s.m.i..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9 - Monitoraggio </w:t>
      </w:r>
    </w:p>
    <w:p>
      <w:pPr>
        <w:pStyle w:val="Normal"/>
        <w:numPr>
          <w:ilvl w:val="0"/>
          <w:numId w:val="23"/>
        </w:numPr>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provvede a fornire alla Regione i dati economici, finanziari, fisici e procedurali relativi alle varie fasi di realizzazione dell'Operazione, imputando gli stessi nel sistema di monitoraggio economico, finanziario, fisico e procedurale Caronte con le credenziali ricevute unitamente alla notifica del Decreto di finanziamento, ovvero attraverso l’utilizzo di appositi moduli di modelli messi a disposizione dalla Regione. </w:t>
      </w:r>
    </w:p>
    <w:p>
      <w:pPr>
        <w:pStyle w:val="Normal"/>
        <w:numPr>
          <w:ilvl w:val="0"/>
          <w:numId w:val="22"/>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si impegna a caricare nella sezione documentale del sistema di monitoraggio economico, finanziario, fisico e procedurale Caronte tutti gli atti e la documentazione relativi all’Operazione, compresa l’intera documentazione giustificativa della spesa. </w:t>
      </w:r>
    </w:p>
    <w:p>
      <w:pPr>
        <w:pStyle w:val="Normal"/>
        <w:numPr>
          <w:ilvl w:val="0"/>
          <w:numId w:val="22"/>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 xml:space="preserve">il Beneficiario è tenuto a comunicare,  </w:t>
      </w:r>
      <w:r>
        <w:rPr>
          <w:rFonts w:eastAsia="SimSun" w:ascii="Times New Roman" w:hAnsi="Times New Roman"/>
          <w:color w:val="000000"/>
          <w:lang w:eastAsia="zh-CN" w:bidi="hi-IN"/>
        </w:rPr>
        <w:t>nei termini previsti dal Manuale di monitoraggio</w:t>
      </w:r>
      <w:r>
        <w:rPr>
          <w:rFonts w:eastAsia="Times New Roman" w:ascii="Times New Roman" w:hAnsi="Times New Roman"/>
          <w:color w:val="000000"/>
          <w:lang w:eastAsia="it-IT"/>
        </w:rPr>
        <w:t>, alla Regione i dati economici, finanziari, fisici e procedurali relativi alle varie fasi di realizzazione dell'Operazione, nonché gli atti e la documentazione progettuale relativi alla stessa, compresa l’intera documentazione giustificativa della spesa, con le modalità di cui ai precedenti commi  1 e 2, per garantire alla Regione il rispetto degli obblighi e impegni di monitoraggio nei confronti dello Stato e dell’UE. Nell’eventualità che per 12 (dodici) mesi consecutivi non sia stato registrato alcun avanzamento della spesa e non sia intervenuta alcuna comunicazione formale in ordine alle motivazioni del mancato avanzamento, la Regione, previo invito a ottemperare agli obblighi di cui ai precedenti commi 1 e 2, procede alla revoca del contributo finanziario e al recupero delle eventuali somme già versate. </w:t>
      </w:r>
    </w:p>
    <w:p>
      <w:pPr>
        <w:pStyle w:val="Normal"/>
        <w:numPr>
          <w:ilvl w:val="0"/>
          <w:numId w:val="22"/>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La regolare trasmissione dei dati di monitoraggio di cui ai precedenti commi 1, 2 e 3 costituisce condizione necessaria per l’erogazione, da parte della Regione, delle quote del contributo finanziario così come disciplinato dall’art. 7 del presente Disciplinare. </w:t>
      </w:r>
    </w:p>
    <w:p>
      <w:pPr>
        <w:pStyle w:val="Normal"/>
        <w:tabs>
          <w:tab w:val="clear" w:pos="708"/>
          <w:tab w:val="left" w:pos="142" w:leader="none"/>
        </w:tabs>
        <w:spacing w:lineRule="auto" w:line="240" w:before="0" w:after="0"/>
        <w:ind w:left="142"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La trasmissione puntuale dei dati di monitoraggio di cui ai precedenti commi 1, 2 e 3, costituisce altresì condizione per accedere a eventuali istituti premiali previsti da successivi Avvisi, in rispondenza e conformità alla disciplina comunitaria, nazionale e regionale di riferimento.</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10 – Modalità di conservazione della documentazione</w:t>
      </w:r>
    </w:p>
    <w:p>
      <w:pPr>
        <w:pStyle w:val="Normal"/>
        <w:numPr>
          <w:ilvl w:val="0"/>
          <w:numId w:val="24"/>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è tenuto a conservare i documenti sotto forma di originali o di copie autenticate, in formato cartaceo o elettronico, su supporti per i dati comunemente accettati, in rispondenza agli obblighi di formazione, trattamento, trasmissione e conservazione dei documenti previsti dalla disciplina nazionale applicabile al Beneficiario medesimo. Tali documenti sono, inoltre, conservati in una forma tale da consentire l'identificazione delle persone interessate solo per il periodo necessario al conseguimento delle finalità per le quali i dati sono rilevati o successivamente trattati, nel rispetto della normativa in materia di tutela della privacy vigente (D.Lgs n. 196/2003 e s.m.i.). </w:t>
      </w:r>
    </w:p>
    <w:p>
      <w:pPr>
        <w:pStyle w:val="Normal"/>
        <w:numPr>
          <w:ilvl w:val="0"/>
          <w:numId w:val="25"/>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Il Beneficiario che utilizza sistemi di archiviazione elettronica o di elaborazione delle immagini (ossia che effettuano scansioni dei documenti originali e li archiviano in forma elettronica) deve organizzare e garantire che: ciascun documento elettronico scannerizzato sia identico all’originale cartaceo, sia impossibile scannerizzare lo stesso documento cartaceo per produrre documenti elettronici diversi, ciascun documento elettronico resti unico e non possa essere riutilizzato per uno scopo diverso da quello iniziale. La procedura di approvazione, contabile e di pagamento deve essere unica per ciascun documento elettronico. Non deve essere possibile approvare, contabilizzare o pagare lo stesso documento elettronico più volte. Una volta sottoposti a scansione, deve essere impossibile modificare i documenti elettronici o creare copie alterate. </w:t>
      </w:r>
    </w:p>
    <w:p>
      <w:pPr>
        <w:pStyle w:val="Normal"/>
        <w:numPr>
          <w:ilvl w:val="0"/>
          <w:numId w:val="26"/>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Il Beneficiario è tenuto a garantire l’archiviazione dei documenti relativi all’Operazione al fine di consentire, anche successivamente alla chiusura dell’Operazione medesima:  </w:t>
      </w:r>
    </w:p>
    <w:p>
      <w:pPr>
        <w:pStyle w:val="ListParagraph"/>
        <w:numPr>
          <w:ilvl w:val="0"/>
          <w:numId w:val="27"/>
        </w:numPr>
        <w:spacing w:lineRule="auto" w:line="240" w:before="0" w:after="0"/>
        <w:contextualSpacing/>
        <w:jc w:val="both"/>
        <w:rPr>
          <w:rFonts w:ascii="Times New Roman" w:hAnsi="Times New Roman" w:eastAsia="Times New Roman"/>
          <w:lang w:eastAsia="it-IT"/>
        </w:rPr>
      </w:pPr>
      <w:r>
        <w:rPr>
          <w:rFonts w:eastAsia="Times New Roman" w:ascii="Times New Roman" w:hAnsi="Times New Roman"/>
          <w:color w:val="000000"/>
          <w:lang w:eastAsia="it-IT"/>
        </w:rPr>
        <w:t>una chiara ricostruzione dei dati di spesa e dei documenti dell’Operazione;  </w:t>
      </w:r>
    </w:p>
    <w:p>
      <w:pPr>
        <w:pStyle w:val="ListParagraph"/>
        <w:numPr>
          <w:ilvl w:val="0"/>
          <w:numId w:val="27"/>
        </w:numPr>
        <w:spacing w:lineRule="auto" w:line="240" w:before="0" w:after="0"/>
        <w:contextualSpacing/>
        <w:jc w:val="both"/>
        <w:rPr>
          <w:rFonts w:ascii="Times New Roman" w:hAnsi="Times New Roman" w:eastAsia="Times New Roman"/>
          <w:lang w:eastAsia="it-IT"/>
        </w:rPr>
      </w:pPr>
      <w:r>
        <w:rPr>
          <w:rFonts w:eastAsia="Times New Roman" w:ascii="Times New Roman" w:hAnsi="Times New Roman"/>
          <w:color w:val="000000"/>
          <w:lang w:eastAsia="it-IT"/>
        </w:rPr>
        <w:t>la riconciliazione dei documenti di spesa con ogni richiesta di rimborso. </w:t>
      </w:r>
    </w:p>
    <w:p>
      <w:pPr>
        <w:pStyle w:val="Normal"/>
        <w:tabs>
          <w:tab w:val="clear" w:pos="708"/>
          <w:tab w:val="left" w:pos="142" w:leader="none"/>
        </w:tabs>
        <w:spacing w:lineRule="auto" w:line="240" w:before="0" w:after="0"/>
        <w:ind w:left="142"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Come già indicato all’art. 2, comma 1 lett. S e T</w:t>
      </w:r>
      <w:r>
        <w:rPr>
          <w:rFonts w:eastAsia="Times New Roman" w:ascii="Times New Roman" w:hAnsi="Times New Roman"/>
          <w:color w:val="0078D4"/>
          <w:lang w:eastAsia="it-IT"/>
        </w:rPr>
        <w:t xml:space="preserve"> </w:t>
      </w:r>
      <w:r>
        <w:rPr>
          <w:rFonts w:eastAsia="Times New Roman" w:ascii="Times New Roman" w:hAnsi="Times New Roman"/>
          <w:color w:val="000000"/>
          <w:lang w:eastAsia="it-IT"/>
        </w:rPr>
        <w:t>del presente Disciplinare, il Beneficiario deve conservare e rendere disponibile la documentazione relativa all’Operazione, nei modi e per le finalità di cui al presente articolo, per un periodo di cinque anni a decorrere dal 31 dicembre dell’anno in cui è effettuato l’ultimo pagamento dell’autorità di gestione al beneficiario, nonché deve consentire le verifiche in loco, a favore delle autorità di controllo regionali, nazionali e UE.</w:t>
      </w:r>
    </w:p>
    <w:p>
      <w:pPr>
        <w:pStyle w:val="Normal"/>
        <w:tabs>
          <w:tab w:val="clear" w:pos="708"/>
          <w:tab w:val="left" w:pos="142" w:leader="none"/>
        </w:tabs>
        <w:spacing w:lineRule="auto" w:line="240" w:before="0" w:after="0"/>
        <w:ind w:left="142"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r>
    </w:p>
    <w:p>
      <w:pPr>
        <w:pStyle w:val="Normal"/>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11 – Controlli </w:t>
      </w:r>
    </w:p>
    <w:p>
      <w:pPr>
        <w:pStyle w:val="Normal"/>
        <w:numPr>
          <w:ilvl w:val="0"/>
          <w:numId w:val="28"/>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 Regione si riserva il diritto di esercitare, in ogni tempo e con le modalità che riterrà opportune, verifiche e controlli sull'avanzamento finanziario, procedurale e fisico dell'Operazione. Tali verifiche non sollevano, in ogni caso, il Beneficiario dalla piena ed esclusiva responsabilità della regolare e perfetta esecuzione dell’Operazione. </w:t>
      </w:r>
    </w:p>
    <w:p>
      <w:pPr>
        <w:pStyle w:val="Normal"/>
        <w:numPr>
          <w:ilvl w:val="0"/>
          <w:numId w:val="29"/>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 Regione rimane estranea ad ogni rapporto comunque nascente con terzi in dipendenza della realizzazione dell’Operazione. </w:t>
      </w:r>
    </w:p>
    <w:p>
      <w:pPr>
        <w:pStyle w:val="Normal"/>
        <w:numPr>
          <w:ilvl w:val="0"/>
          <w:numId w:val="3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In caso di accertamento, in sede di controllo, del mancato pieno rispetto delle discipline comunitarie, nazionali e regionali, anche se non penalmente rilevanti, si procederà alla revoca del contributo finanziario e al recupero delle eventuali somme già erogate. </w:t>
      </w:r>
    </w:p>
    <w:p>
      <w:pPr>
        <w:pStyle w:val="Normal"/>
        <w:numPr>
          <w:ilvl w:val="0"/>
          <w:numId w:val="3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L'Operazione ammessa a contribuzione finanziaria è soggetta alle verifiche ed agli eventuali collaudi tecnici specifici prescritti per legge o per contratto, in relazione alla particolare natura della stessa e delle attività/progetti ivi previste. </w:t>
      </w:r>
    </w:p>
    <w:p>
      <w:pPr>
        <w:pStyle w:val="Normal"/>
        <w:tabs>
          <w:tab w:val="clear" w:pos="708"/>
          <w:tab w:val="left" w:pos="142" w:leader="none"/>
          <w:tab w:val="left" w:pos="2605"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r>
        <w:rPr>
          <w:rFonts w:eastAsia="Times New Roman" w:ascii="Times New Roman" w:hAnsi="Times New Roman"/>
          <w:lang w:eastAsia="it-IT"/>
        </w:rPr>
        <w:tab/>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12 – Disponibilità dei dati </w:t>
      </w:r>
    </w:p>
    <w:p>
      <w:pPr>
        <w:pStyle w:val="Normal"/>
        <w:numPr>
          <w:ilvl w:val="0"/>
          <w:numId w:val="32"/>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 dati relativi all’attuazione dell’Operazione, così come riportati nel sistema di monitoraggio economico, finanziario, fisico e procedurale Caronte, saranno resi disponibili per gli organi istituzionali deputati al monitoraggio e al controllo. </w:t>
      </w:r>
    </w:p>
    <w:p>
      <w:pPr>
        <w:pStyle w:val="Normal"/>
        <w:numPr>
          <w:ilvl w:val="0"/>
          <w:numId w:val="33"/>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Il Beneficiario si impegna a comunicare la circostanza di cui al precedente comma 1 ai Soggetti attuatori, esecutori a qualsiasi titolo e prestatori di servizio, fornitori e subcontraenti. </w:t>
      </w:r>
    </w:p>
    <w:p>
      <w:pPr>
        <w:pStyle w:val="Normal"/>
        <w:numPr>
          <w:ilvl w:val="0"/>
          <w:numId w:val="34"/>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 dati generali relativi all’Operazione e al relativo stato di avanzamento saranno resi disponibili al pubblico.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13 - Stabilità dell’operazione </w:t>
      </w:r>
    </w:p>
    <w:p>
      <w:pPr>
        <w:pStyle w:val="Normal"/>
        <w:numPr>
          <w:ilvl w:val="0"/>
          <w:numId w:val="35"/>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Ai sensi e per gli effetti dell’art. 65 del Regolamento (UE) n. 2021/1060, l’Operazione ammessa a contribuzione finanziaria, pena il recupero del contributo finanziario accordato, per i cinque anni successivi al suo completamento non deve subire modifiche sostanziali: </w:t>
      </w:r>
    </w:p>
    <w:p>
      <w:pPr>
        <w:pStyle w:val="Normal"/>
        <w:numPr>
          <w:ilvl w:val="0"/>
          <w:numId w:val="37"/>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che ne alterino la natura o le modalità di esecuzione, o che procurino un vantaggio indebito ad un’impresa o a un ente pubblico; </w:t>
      </w:r>
    </w:p>
    <w:p>
      <w:pPr>
        <w:pStyle w:val="Normal"/>
        <w:numPr>
          <w:ilvl w:val="0"/>
          <w:numId w:val="37"/>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che siano il risultato di un cambiamento nella natura della proprietà di una infrastruttura o della cessazione di una attività produttiva</w:t>
      </w:r>
      <w:r>
        <w:rPr>
          <w:rFonts w:eastAsia="Times New Roman" w:ascii="Times New Roman" w:hAnsi="Times New Roman"/>
          <w:lang w:eastAsia="it-IT"/>
        </w:rPr>
        <w:t>. </w:t>
      </w:r>
    </w:p>
    <w:p>
      <w:pPr>
        <w:pStyle w:val="Normal"/>
        <w:numPr>
          <w:ilvl w:val="0"/>
          <w:numId w:val="36"/>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Gli importi indebitamente versati in relazione all'Operazione saranno recuperati dalla Regione in proporzione al periodo per il quale i predetti requisiti non sono stati soddisfatti.</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color w:val="2E74B5"/>
          <w:lang w:eastAsia="it-IT"/>
        </w:rPr>
      </w:pPr>
      <w:r>
        <w:rPr>
          <w:rFonts w:eastAsia="Times New Roman" w:ascii="Times New Roman" w:hAnsi="Times New Roman"/>
          <w:b/>
          <w:bCs/>
          <w:color w:val="2E74B5"/>
          <w:lang w:eastAsia="it-IT"/>
        </w:rPr>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color w:val="2E74B5"/>
          <w:lang w:eastAsia="it-IT"/>
        </w:rPr>
      </w:pPr>
      <w:r>
        <w:rPr>
          <w:rFonts w:eastAsia="Times New Roman" w:ascii="Times New Roman" w:hAnsi="Times New Roman"/>
          <w:b/>
          <w:color w:val="2E74B5"/>
          <w:lang w:eastAsia="it-IT"/>
        </w:rPr>
        <w:t>Art. 14 – Varianti </w:t>
      </w:r>
    </w:p>
    <w:p>
      <w:pPr>
        <w:pStyle w:val="Normal"/>
        <w:numPr>
          <w:ilvl w:val="0"/>
          <w:numId w:val="38"/>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Le eventuali varianti in corso d’opera che potranno interessare le operazioni finanziate devono fare esclusivo riferimento alle casistiche individuate dall’art. 106 del D. Lgs. 50/2016 e s.m.i. (Modifica di contratti durante il periodo di efficacia) e dall’art. 120 del D.Lgs. 36/2023 (Modifica dei contratti in corso di esecuzione). </w:t>
      </w:r>
    </w:p>
    <w:p>
      <w:pPr>
        <w:pStyle w:val="Normal"/>
        <w:numPr>
          <w:ilvl w:val="0"/>
          <w:numId w:val="39"/>
        </w:numPr>
        <w:tabs>
          <w:tab w:val="clear" w:pos="708"/>
          <w:tab w:val="left" w:pos="0" w:leader="none"/>
        </w:tabs>
        <w:spacing w:lineRule="auto" w:line="240" w:before="0" w:after="0"/>
        <w:ind w:left="0" w:hanging="0"/>
        <w:jc w:val="both"/>
        <w:rPr>
          <w:rFonts w:ascii="Times New Roman" w:hAnsi="Times New Roman" w:eastAsia="Times New Roman"/>
          <w:color w:val="000000"/>
          <w:lang w:eastAsia="it-IT"/>
        </w:rPr>
      </w:pPr>
      <w:r>
        <w:rPr>
          <w:rFonts w:eastAsia="Times New Roman" w:ascii="Times New Roman" w:hAnsi="Times New Roman"/>
          <w:color w:val="000000"/>
          <w:lang w:eastAsia="it-IT"/>
        </w:rPr>
        <w:t>Le risorse funzionali ad un eventuale incremento dell’importo lavori discendenti dai “lavori di perizia” potranno essere reperite prioritariamente nell’ambito delle somme per imprevisti presenti nel quadro economico del progetto esecutivo fra le c.d. “somme a disposizione”. </w:t>
      </w:r>
    </w:p>
    <w:p>
      <w:pPr>
        <w:pStyle w:val="Normal"/>
        <w:numPr>
          <w:ilvl w:val="0"/>
          <w:numId w:val="4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Non potranno pertanto essere ammesse varianti che determinino un incremento del contributo pubblico complessivo concesso. </w:t>
      </w:r>
    </w:p>
    <w:p>
      <w:pPr>
        <w:pStyle w:val="Normal"/>
        <w:numPr>
          <w:ilvl w:val="0"/>
          <w:numId w:val="4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Eventuali economie derivanti dalla mancata realizzazione di lavori o dal mancato utilizzo delle c.d. “somme a disposizione” rientreranno nelle disponibilità dell’amministrazione regionale. </w:t>
      </w:r>
    </w:p>
    <w:p>
      <w:pPr>
        <w:pStyle w:val="Normal"/>
        <w:numPr>
          <w:ilvl w:val="0"/>
          <w:numId w:val="42"/>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 necessità di introdurre una variante dovrà essere tempestivamente comunicata dal beneficiario all’Amministrazione regionale e, a seguito del perfezionamento della perizia, il beneficiario provvederà a trasmettere la relativa relazione all’UCO/CdR, al fine di verificare la coerenza e la congruenza con gli obiettivi, le finalità e le caratteristiche del progetto originariamente finanziato. </w:t>
      </w:r>
    </w:p>
    <w:p>
      <w:pPr>
        <w:pStyle w:val="Normal"/>
        <w:numPr>
          <w:ilvl w:val="0"/>
          <w:numId w:val="43"/>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L’amministrazione regionale provvederà quindi ad effettuare le necessarie verifiche amministrative, contabili e tecniche volte ad accertarne l’ammissibilità e, in caso di esito negativo di tali accertamenti, procederà alla revoca parziale o totale delle agevolazioni concesse. </w:t>
      </w:r>
    </w:p>
    <w:p>
      <w:pPr>
        <w:pStyle w:val="Normal"/>
        <w:numPr>
          <w:ilvl w:val="0"/>
          <w:numId w:val="44"/>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Eventuali proroghe ai termini di ultimazione dell’operazione indicati nel decreto di finanziamento e relativo disciplinare risulteranno ammissibili a condizione che:  </w:t>
      </w:r>
    </w:p>
    <w:p>
      <w:pPr>
        <w:pStyle w:val="Normal"/>
        <w:numPr>
          <w:ilvl w:val="0"/>
          <w:numId w:val="48"/>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le motivazioni che hanno generato i ritardi nella fase di esecuzione delle operazioni finanziate siano dipese da cause terze dalle funzioni di gestione dell’operazione in capo al beneficiario;  </w:t>
      </w:r>
    </w:p>
    <w:p>
      <w:pPr>
        <w:pStyle w:val="Normal"/>
        <w:numPr>
          <w:ilvl w:val="0"/>
          <w:numId w:val="47"/>
        </w:numPr>
        <w:spacing w:lineRule="auto" w:line="240" w:before="0" w:after="0"/>
        <w:jc w:val="both"/>
        <w:rPr>
          <w:rFonts w:ascii="Times New Roman" w:hAnsi="Times New Roman" w:eastAsia="Times New Roman"/>
          <w:lang w:eastAsia="it-IT"/>
        </w:rPr>
      </w:pPr>
      <w:r>
        <w:rPr>
          <w:rFonts w:eastAsia="Times New Roman" w:ascii="Times New Roman" w:hAnsi="Times New Roman"/>
          <w:color w:val="000000"/>
          <w:lang w:eastAsia="it-IT"/>
        </w:rPr>
        <w:t>i ritardi nella fase di esecuzione dell’operazione non incidano, per profili determinanti, sui programmi di spesa afferenti all’azione di riferimento del POR e, comunque, non superino il termine di eleggibilità della spesa del Programma Operativo. </w:t>
      </w:r>
    </w:p>
    <w:p>
      <w:pPr>
        <w:pStyle w:val="Normal"/>
        <w:numPr>
          <w:ilvl w:val="0"/>
          <w:numId w:val="45"/>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Le richieste di proroga dovranno pervenire all’UCO/CdR entro un congruo termine dalla scadenza dei termini di ultimazione dell’operazione previsti nel decreto di finanziamento e relativo disciplinare, al fine di consentire una attività istruttoria che permetta all’UCO/CdR di determinarsi nel merito entro tali termini. </w:t>
      </w:r>
    </w:p>
    <w:p>
      <w:pPr>
        <w:pStyle w:val="Normal"/>
        <w:numPr>
          <w:ilvl w:val="0"/>
          <w:numId w:val="46"/>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In esito all’attività istruttoria l’UCO/CdR potrà concedere la proroga, ovvero esprimersi con diniego attivando le ulteriori determinazioni consequenziali connesse alle specificità dell’intervento sul quale è stata avanzata la richiesta. </w:t>
      </w:r>
    </w:p>
    <w:p>
      <w:pPr>
        <w:pStyle w:val="Normal"/>
        <w:tabs>
          <w:tab w:val="clear" w:pos="708"/>
          <w:tab w:val="left" w:pos="0" w:leader="none"/>
        </w:tabs>
        <w:spacing w:lineRule="auto" w:line="240" w:before="0" w:after="0"/>
        <w:rPr>
          <w:rFonts w:ascii="Times New Roman" w:hAnsi="Times New Roman" w:eastAsia="Times New Roman"/>
          <w:b/>
          <w:b/>
          <w:lang w:eastAsia="it-IT"/>
        </w:rPr>
      </w:pPr>
      <w:r>
        <w:rPr>
          <w:rFonts w:eastAsia="Times New Roman" w:ascii="Times New Roman" w:hAnsi="Times New Roman"/>
          <w:b/>
          <w:lang w:eastAsia="it-IT"/>
        </w:rPr>
      </w:r>
    </w:p>
    <w:p>
      <w:pPr>
        <w:pStyle w:val="Normal"/>
        <w:tabs>
          <w:tab w:val="clear" w:pos="708"/>
          <w:tab w:val="left" w:pos="0" w:leader="none"/>
        </w:tabs>
        <w:spacing w:lineRule="auto" w:line="240" w:before="0" w:after="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15 – Revoca della contribuzione finanziaria </w:t>
      </w:r>
    </w:p>
    <w:p>
      <w:pPr>
        <w:pStyle w:val="Normal"/>
        <w:numPr>
          <w:ilvl w:val="0"/>
          <w:numId w:val="49"/>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Oltre che nelle ipotesi specificamente previste e disciplinate in altri articoli del presente  Disciplinare, la Regione si riserva di revocare il contributo finanziario concesso nel caso in cui il Beneficiario incorra in un’irregolarità ai sensi del Regolamento (UE) 2021/1060, art. 2, paragrafo 1, punto 31, oppure in violazioni o negligenze in ordine alle disposizioni e condizioni del presente Disciplinare, nonché a leggi, regolamenti e disposizioni amministrative vigenti, nonché alle norme di buona amministrazione, nonché nel caso di violazione degli obblighi di cui al precedente art. 2.</w:t>
      </w:r>
      <w:r>
        <w:rPr>
          <w:rFonts w:eastAsia="MS Mincho" w:ascii="Times New Roman" w:hAnsi="Times New Roman"/>
          <w:b/>
          <w:bCs/>
          <w:i/>
          <w:iCs/>
          <w:color w:val="FF0000"/>
          <w:lang w:eastAsia="it-IT"/>
        </w:rPr>
        <w:t> </w:t>
      </w:r>
      <w:r>
        <w:rPr>
          <w:rFonts w:eastAsia="MS Mincho" w:ascii="Times New Roman" w:hAnsi="Times New Roman"/>
          <w:color w:val="FF0000"/>
          <w:lang w:eastAsia="it-IT"/>
        </w:rPr>
        <w:t> </w:t>
      </w:r>
    </w:p>
    <w:p>
      <w:pPr>
        <w:pStyle w:val="Normal"/>
        <w:numPr>
          <w:ilvl w:val="0"/>
          <w:numId w:val="50"/>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Lo stesso potere di revoca la Regione lo eserciterà ove, per imperizia, o altro comportamento, il Beneficiario comprometta la tempestiva esecuzione o buona riuscita dell'Operazione. </w:t>
      </w:r>
    </w:p>
    <w:p>
      <w:pPr>
        <w:pStyle w:val="Normal"/>
        <w:numPr>
          <w:ilvl w:val="0"/>
          <w:numId w:val="51"/>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Nel caso di revoca, il Beneficiario è obbligato a restituire alla Regione le somme da quest'ultima erogate, maggiorate degli interessi legali nel caso di versamento delle stesse su conti correnti fruttiferi, restando a totale carico del medesimo Beneficiario tutti gli oneri relativi all'Operazione. </w:t>
      </w:r>
    </w:p>
    <w:p>
      <w:pPr>
        <w:pStyle w:val="Normal"/>
        <w:numPr>
          <w:ilvl w:val="0"/>
          <w:numId w:val="52"/>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È in ogni caso facoltà della Regione utilizzare il potere di revoca previsto dal presente articolo nel caso di gravi ritardi o irregolarità – indipendentemente dalla relativa imputabilità a colpa o, comunque, responsabilità del Beneficiario – nell'utilizzo del contributo finanziario concesso.  </w:t>
      </w:r>
    </w:p>
    <w:p>
      <w:pPr>
        <w:pStyle w:val="Normal"/>
        <w:numPr>
          <w:ilvl w:val="0"/>
          <w:numId w:val="53"/>
        </w:numPr>
        <w:tabs>
          <w:tab w:val="clear" w:pos="708"/>
          <w:tab w:val="left" w:pos="0" w:leader="none"/>
        </w:tabs>
        <w:spacing w:lineRule="auto" w:line="240" w:before="0" w:after="0"/>
        <w:ind w:left="0" w:hanging="0"/>
        <w:jc w:val="both"/>
        <w:rPr>
          <w:rFonts w:ascii="Times New Roman" w:hAnsi="Times New Roman" w:eastAsia="Times New Roman"/>
          <w:lang w:eastAsia="it-IT"/>
        </w:rPr>
      </w:pPr>
      <w:r>
        <w:rPr>
          <w:rFonts w:eastAsia="Times New Roman" w:ascii="Times New Roman" w:hAnsi="Times New Roman"/>
          <w:color w:val="000000"/>
          <w:lang w:eastAsia="it-IT"/>
        </w:rPr>
        <w:t>In caso di revoca parziale del contributo finanziario conseguente alla non ammissibilità di alcune spese richieste a rimborso, queste ultime resteranno a totale carico del Beneficiario. </w:t>
      </w:r>
    </w:p>
    <w:p>
      <w:pPr>
        <w:pStyle w:val="Normal"/>
        <w:tabs>
          <w:tab w:val="clear" w:pos="708"/>
          <w:tab w:val="left" w:pos="0" w:leader="none"/>
        </w:tabs>
        <w:spacing w:lineRule="auto" w:line="240" w:before="0" w:after="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16 - Foro competente </w:t>
      </w:r>
    </w:p>
    <w:p>
      <w:pPr>
        <w:pStyle w:val="Normal"/>
        <w:numPr>
          <w:ilvl w:val="0"/>
          <w:numId w:val="54"/>
        </w:numPr>
        <w:tabs>
          <w:tab w:val="clear" w:pos="708"/>
          <w:tab w:val="left" w:pos="0" w:leader="none"/>
        </w:tabs>
        <w:spacing w:lineRule="auto" w:line="240" w:before="0" w:after="0"/>
        <w:ind w:left="0" w:hanging="0"/>
        <w:rPr>
          <w:rFonts w:ascii="Times New Roman" w:hAnsi="Times New Roman" w:eastAsia="Times New Roman"/>
          <w:lang w:eastAsia="it-IT"/>
        </w:rPr>
      </w:pPr>
      <w:r>
        <w:rPr>
          <w:rFonts w:eastAsia="Times New Roman" w:ascii="Times New Roman" w:hAnsi="Times New Roman"/>
          <w:lang w:eastAsia="it-IT"/>
        </w:rPr>
        <w:t>Per qualsiasi controversia derivante o connessa al presente Disciplinare, ove la Regione sia attore o convenuto, è competente il Foro di Palermo, con espressa rinuncia a qualsiasi altro. </w:t>
      </w:r>
    </w:p>
    <w:p>
      <w:pPr>
        <w:pStyle w:val="Normal"/>
        <w:tabs>
          <w:tab w:val="clear" w:pos="708"/>
          <w:tab w:val="left" w:pos="0" w:leader="none"/>
        </w:tabs>
        <w:spacing w:lineRule="auto" w:line="240" w:before="0" w:after="0"/>
        <w:rPr>
          <w:rFonts w:ascii="Times New Roman" w:hAnsi="Times New Roman" w:eastAsia="Times New Roman"/>
          <w:lang w:eastAsia="it-IT"/>
        </w:rPr>
      </w:pPr>
      <w:r>
        <w:rPr>
          <w:rFonts w:eastAsia="Times New Roman" w:ascii="Times New Roman" w:hAnsi="Times New Roman"/>
          <w:lang w:eastAsia="it-IT"/>
        </w:rPr>
      </w:r>
    </w:p>
    <w:p>
      <w:pPr>
        <w:pStyle w:val="Normal"/>
        <w:tabs>
          <w:tab w:val="clear" w:pos="708"/>
          <w:tab w:val="left" w:pos="0" w:leader="none"/>
        </w:tabs>
        <w:spacing w:lineRule="auto" w:line="240" w:before="0" w:after="0"/>
        <w:jc w:val="center"/>
        <w:rPr>
          <w:rFonts w:ascii="Times New Roman" w:hAnsi="Times New Roman" w:eastAsia="Times New Roman"/>
          <w:b/>
          <w:b/>
          <w:color w:val="2E74B5"/>
          <w:lang w:eastAsia="it-IT"/>
        </w:rPr>
      </w:pPr>
      <w:r>
        <w:rPr>
          <w:rFonts w:eastAsia="Times New Roman" w:ascii="Times New Roman" w:hAnsi="Times New Roman"/>
          <w:b/>
          <w:color w:val="2E74B5"/>
          <w:lang w:eastAsia="it-IT"/>
        </w:rPr>
        <w:t>Art. 17 – Richiamo generale alle norme applicabili e alle disposizioni dell’UE </w:t>
      </w:r>
    </w:p>
    <w:p>
      <w:pPr>
        <w:pStyle w:val="Normal"/>
        <w:numPr>
          <w:ilvl w:val="0"/>
          <w:numId w:val="55"/>
        </w:numPr>
        <w:tabs>
          <w:tab w:val="clear" w:pos="708"/>
          <w:tab w:val="left" w:pos="0" w:leader="none"/>
        </w:tabs>
        <w:spacing w:lineRule="auto" w:line="240" w:before="0" w:after="0"/>
        <w:ind w:left="0" w:hanging="0"/>
        <w:rPr>
          <w:rFonts w:ascii="Times New Roman" w:hAnsi="Times New Roman" w:eastAsia="Times New Roman"/>
          <w:lang w:eastAsia="it-IT"/>
        </w:rPr>
      </w:pPr>
      <w:r>
        <w:rPr>
          <w:rFonts w:eastAsia="Times New Roman" w:ascii="Times New Roman" w:hAnsi="Times New Roman"/>
          <w:lang w:eastAsia="it-IT"/>
        </w:rPr>
        <w:t>Per quanto non espressamente previsto, si richiamano tutte le norme applicabili in materia, nonché le disposizioni impartite dall’UE. </w:t>
      </w:r>
    </w:p>
    <w:p>
      <w:pPr>
        <w:pStyle w:val="Normal"/>
        <w:tabs>
          <w:tab w:val="clear" w:pos="708"/>
          <w:tab w:val="left" w:pos="0" w:leader="none"/>
        </w:tabs>
        <w:spacing w:lineRule="auto" w:line="240" w:before="0" w:after="0"/>
        <w:rPr>
          <w:rFonts w:ascii="Times New Roman" w:hAnsi="Times New Roman" w:eastAsia="Times New Roman"/>
          <w:lang w:eastAsia="it-IT"/>
        </w:rPr>
      </w:pPr>
      <w:r>
        <w:rPr>
          <w:rFonts w:eastAsia="Times New Roman" w:ascii="Times New Roman" w:hAnsi="Times New Roman"/>
          <w:lang w:eastAsia="it-IT"/>
        </w:rPr>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Palermo, _______________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Per la Regione Siciliana, il Responsabile dell’Azione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PER ACCETTAZIONE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_______________, ______________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 </w:t>
      </w:r>
    </w:p>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color w:val="000000"/>
          <w:lang w:eastAsia="it-IT"/>
        </w:rPr>
        <w:t>Per il Beneficiario, _____________________ </w:t>
      </w:r>
    </w:p>
    <w:p>
      <w:pPr>
        <w:pStyle w:val="Normal"/>
        <w:tabs>
          <w:tab w:val="clear" w:pos="708"/>
          <w:tab w:val="left" w:pos="0" w:leader="none"/>
        </w:tabs>
        <w:spacing w:lineRule="auto" w:line="240" w:before="0" w:after="0"/>
        <w:rPr>
          <w:rFonts w:ascii="Times New Roman" w:hAnsi="Times New Roman" w:eastAsia="Times New Roman"/>
          <w:lang w:eastAsia="it-IT"/>
        </w:rPr>
      </w:pPr>
      <w:r>
        <w:rPr>
          <w:rFonts w:eastAsia="Times New Roman" w:ascii="Times New Roman" w:hAnsi="Times New Roman"/>
          <w:lang w:eastAsia="it-IT"/>
        </w:rPr>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ascii="Times New Roman" w:hAnsi="Times New Roman"/>
          <w:lang w:eastAsia="it-IT"/>
        </w:rPr>
      </w:r>
    </w:p>
    <w:p>
      <w:pPr>
        <w:pStyle w:val="Paragraph"/>
        <w:spacing w:beforeAutospacing="0" w:before="0" w:afterAutospacing="0" w:after="0"/>
        <w:ind w:left="360" w:hanging="0"/>
        <w:jc w:val="both"/>
        <w:rPr>
          <w:sz w:val="22"/>
          <w:szCs w:val="22"/>
        </w:rPr>
      </w:pPr>
      <w:r>
        <w:rPr>
          <w:sz w:val="22"/>
          <w:szCs w:val="22"/>
        </w:rPr>
      </w:r>
    </w:p>
    <w:p>
      <w:pPr>
        <w:pStyle w:val="Normal"/>
        <w:spacing w:lineRule="auto" w:line="240" w:before="0" w:after="0"/>
        <w:jc w:val="left"/>
        <w:rPr>
          <w:b/>
          <w:b/>
        </w:rPr>
      </w:pPr>
      <w:r>
        <w:rPr>
          <w:b/>
        </w:rPr>
      </w:r>
    </w:p>
    <w:p>
      <w:pPr>
        <w:pStyle w:val="Normal"/>
        <w:spacing w:lineRule="auto" w:line="240" w:before="0" w:after="0"/>
        <w:jc w:val="left"/>
        <w:rPr>
          <w:b/>
          <w:b/>
        </w:rPr>
      </w:pPr>
      <w:r>
        <w:rPr>
          <w:b/>
        </w:rPr>
      </w:r>
    </w:p>
    <w:p>
      <w:pPr>
        <w:pStyle w:val="Normal"/>
        <w:tabs>
          <w:tab w:val="clear" w:pos="708"/>
          <w:tab w:val="left" w:pos="142" w:leader="none"/>
        </w:tabs>
        <w:spacing w:lineRule="auto" w:line="240" w:before="0" w:after="0"/>
        <w:ind w:left="142" w:hanging="0"/>
        <w:rPr>
          <w:rFonts w:ascii="Segoe UI" w:hAnsi="Segoe UI" w:eastAsia="Times New Roman" w:cs="Segoe UI"/>
          <w:b/>
          <w:b/>
          <w:color w:val="2E74B5"/>
          <w:lang w:eastAsia="it-IT"/>
        </w:rPr>
      </w:pPr>
      <w:r>
        <w:rPr>
          <w:rFonts w:eastAsia="Times New Roman" w:cs="Calibri Light" w:ascii="Calibri Light" w:hAnsi="Calibri Light"/>
          <w:b/>
          <w:color w:val="2E74B5"/>
          <w:lang w:eastAsia="it-IT"/>
        </w:rPr>
        <w:t>ALLEGATO AL DISCIPLINARE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I </w:t>
        <w:br/>
        <w:t>SOGGETTI RESPONSABILI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1. Amministrazione responsabile della gestione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3697"/>
        <w:gridCol w:w="5956"/>
      </w:tblGrid>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Ente</w:t>
            </w:r>
            <w:r>
              <w:rPr>
                <w:rFonts w:eastAsia="Times New Roman" w:cs="Calibri"/>
                <w:lang w:eastAsia="it-IT"/>
              </w:rPr>
              <w:t>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Regione Siciliana - Dipartimento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Indirizzo (Civico, CAP, Località)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i/>
                <w:iCs/>
                <w:lang w:eastAsia="it-IT"/>
              </w:rPr>
              <w:t>Responsabile della gestione (UCO)</w:t>
            </w:r>
            <w:r>
              <w:rPr>
                <w:rFonts w:eastAsia="Times New Roman" w:cs="Calibri"/>
                <w:lang w:eastAsia="it-IT"/>
              </w:rPr>
              <w:t>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PEC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i/>
                <w:iCs/>
                <w:lang w:eastAsia="it-IT"/>
              </w:rPr>
              <w:t>Responsabile del controllo (UC)</w:t>
            </w:r>
            <w:r>
              <w:rPr>
                <w:rFonts w:eastAsia="Times New Roman" w:cs="Calibri"/>
                <w:lang w:eastAsia="it-IT"/>
              </w:rPr>
              <w:t>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15" w:hRule="atLeast"/>
        </w:trPr>
        <w:tc>
          <w:tcPr>
            <w:tcW w:w="369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PEC </w:t>
            </w:r>
          </w:p>
        </w:tc>
        <w:tc>
          <w:tcPr>
            <w:tcW w:w="59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2. Beneficiario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3706"/>
        <w:gridCol w:w="5947"/>
      </w:tblGrid>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Ente</w:t>
            </w:r>
            <w:r>
              <w:rPr>
                <w:rFonts w:eastAsia="Times New Roman" w:cs="Calibri"/>
                <w:lang w:eastAsia="it-IT"/>
              </w:rPr>
              <w:t>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Indirizzo (Civico, CAP, Località)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Referente dell’Ente</w:t>
            </w:r>
            <w:r>
              <w:rPr>
                <w:rFonts w:eastAsia="Times New Roman" w:cs="Calibri"/>
                <w:lang w:eastAsia="it-IT"/>
              </w:rPr>
              <w:t>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b/>
                <w:bCs/>
                <w:lang w:eastAsia="it-IT"/>
              </w:rPr>
              <w:t>Referente di progetto (RUP)</w:t>
            </w:r>
            <w:r>
              <w:rPr>
                <w:rFonts w:eastAsia="Times New Roman" w:cs="Calibri"/>
                <w:lang w:eastAsia="it-IT"/>
              </w:rPr>
              <w:t>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Telefono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e-mail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370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PEC </w:t>
            </w:r>
          </w:p>
        </w:tc>
        <w:tc>
          <w:tcPr>
            <w:tcW w:w="59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II </w:t>
        <w:br/>
        <w:t>DESCRIZIONE E CARATTERISTICHE DELL’OPERAZIONE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3. Anagrafica dell’Operazione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2843"/>
        <w:gridCol w:w="6810"/>
      </w:tblGrid>
      <w:tr>
        <w:trPr>
          <w:trHeight w:val="30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Codice CUP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Codice Caronte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51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Titolo Operazione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Settore/i Operazione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3" w:type="dxa"/>
            <w:vMerge w:val="restart"/>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Localizzazione </w:t>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Regione  </w:t>
            </w:r>
          </w:p>
        </w:tc>
      </w:tr>
      <w:tr>
        <w:trPr>
          <w:trHeight w:val="300" w:hRule="atLeast"/>
        </w:trPr>
        <w:tc>
          <w:tcPr>
            <w:tcW w:w="2843"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Provincia/e  </w:t>
            </w:r>
          </w:p>
        </w:tc>
      </w:tr>
      <w:tr>
        <w:trPr>
          <w:trHeight w:val="300" w:hRule="atLeast"/>
        </w:trPr>
        <w:tc>
          <w:tcPr>
            <w:tcW w:w="2843"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1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Comune/i  </w:t>
            </w:r>
          </w:p>
        </w:tc>
      </w:tr>
    </w:tbl>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4. Descrizione sintetica dell’Operazione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tbl>
      <w:tblPr>
        <w:tblW w:w="9605" w:type="dxa"/>
        <w:jc w:val="left"/>
        <w:tblInd w:w="142" w:type="dxa"/>
        <w:tblCellMar>
          <w:top w:w="0" w:type="dxa"/>
          <w:left w:w="108" w:type="dxa"/>
          <w:bottom w:w="0" w:type="dxa"/>
          <w:right w:w="108" w:type="dxa"/>
        </w:tblCellMar>
        <w:tblLook w:firstRow="1" w:noVBand="1" w:lastRow="0" w:firstColumn="1" w:lastColumn="0" w:noHBand="0" w:val="04a0"/>
      </w:tblPr>
      <w:tblGrid>
        <w:gridCol w:w="9605"/>
      </w:tblGrid>
      <w:tr>
        <w:trPr>
          <w:trHeight w:val="1310" w:hRule="atLeast"/>
        </w:trPr>
        <w:tc>
          <w:tcPr>
            <w:tcW w:w="9605" w:type="dxa"/>
            <w:tcBorders>
              <w:top w:val="single" w:sz="4" w:space="0" w:color="000000"/>
              <w:left w:val="single" w:sz="4" w:space="0" w:color="000000"/>
              <w:bottom w:val="single" w:sz="4" w:space="0" w:color="000000"/>
              <w:right w:val="single" w:sz="4" w:space="0" w:color="000000"/>
            </w:tcBorders>
          </w:tcPr>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tc>
      </w:tr>
    </w:tbl>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5. Anagrafica della singola attività/progetto</w:t>
      </w:r>
      <w:r>
        <w:rPr>
          <w:rFonts w:eastAsia="Times New Roman" w:cs="Calibri Light" w:ascii="Calibri Light" w:hAnsi="Calibri Light"/>
          <w:color w:val="1F4E79"/>
          <w:vertAlign w:val="superscript"/>
          <w:lang w:eastAsia="it-IT"/>
        </w:rPr>
        <w:t>1</w:t>
      </w:r>
      <w:r>
        <w:rPr>
          <w:rFonts w:eastAsia="Times New Roman" w:cs="Calibri Light" w:ascii="Calibri Light" w:hAnsi="Calibri Light"/>
          <w:i/>
          <w:iCs/>
          <w:color w:val="FF0000"/>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i/>
          <w:iCs/>
          <w:color w:val="1F4E79"/>
          <w:lang w:eastAsia="it-IT"/>
        </w:rPr>
        <w:t>5.A.1. Informazioni generali</w:t>
      </w:r>
      <w:r>
        <w:rPr>
          <w:rFonts w:eastAsia="Times New Roman" w:cs="Calibri"/>
          <w:color w:val="1F4E79"/>
          <w:lang w:eastAsia="it-IT"/>
        </w:rPr>
        <w:t> </w:t>
      </w:r>
    </w:p>
    <w:tbl>
      <w:tblPr>
        <w:tblW w:w="9654" w:type="dxa"/>
        <w:jc w:val="left"/>
        <w:tblInd w:w="0" w:type="dxa"/>
        <w:tblCellMar>
          <w:top w:w="0" w:type="dxa"/>
          <w:left w:w="7" w:type="dxa"/>
          <w:bottom w:w="0" w:type="dxa"/>
          <w:right w:w="7" w:type="dxa"/>
        </w:tblCellMar>
        <w:tblLook w:firstRow="1" w:noVBand="1" w:lastRow="0" w:firstColumn="1" w:lastColumn="0" w:noHBand="0" w:val="04a0"/>
      </w:tblPr>
      <w:tblGrid>
        <w:gridCol w:w="2845"/>
        <w:gridCol w:w="6808"/>
      </w:tblGrid>
      <w:tr>
        <w:trPr>
          <w:trHeight w:val="510" w:hRule="atLeast"/>
        </w:trPr>
        <w:tc>
          <w:tcPr>
            <w:tcW w:w="284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Titolo/oggetto </w:t>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84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Codice CIG </w:t>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i/>
                <w:iCs/>
                <w:lang w:eastAsia="it-IT"/>
              </w:rPr>
              <w:t>Da compilare dopo la gara</w:t>
            </w:r>
            <w:r>
              <w:rPr>
                <w:rFonts w:eastAsia="Times New Roman" w:cs="Calibri"/>
                <w:lang w:eastAsia="it-IT"/>
              </w:rPr>
              <w:t> </w:t>
            </w:r>
          </w:p>
        </w:tc>
      </w:tr>
      <w:tr>
        <w:trPr>
          <w:trHeight w:val="300" w:hRule="atLeast"/>
        </w:trPr>
        <w:tc>
          <w:tcPr>
            <w:tcW w:w="2845" w:type="dxa"/>
            <w:vMerge w:val="restart"/>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Localizzazione </w:t>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Regione  </w:t>
            </w:r>
          </w:p>
        </w:tc>
      </w:tr>
      <w:tr>
        <w:trPr>
          <w:trHeight w:val="300" w:hRule="atLeast"/>
        </w:trPr>
        <w:tc>
          <w:tcPr>
            <w:tcW w:w="2845"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Provincia  </w:t>
            </w:r>
          </w:p>
        </w:tc>
      </w:tr>
      <w:tr>
        <w:trPr>
          <w:trHeight w:val="300" w:hRule="atLeast"/>
        </w:trPr>
        <w:tc>
          <w:tcPr>
            <w:tcW w:w="2845" w:type="dxa"/>
            <w:vMerge w:val="continue"/>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ascii="Times New Roman" w:hAnsi="Times New Roman"/>
                <w:lang w:eastAsia="it-IT"/>
              </w:rPr>
            </w:r>
          </w:p>
        </w:tc>
        <w:tc>
          <w:tcPr>
            <w:tcW w:w="68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Comuni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i/>
          <w:iCs/>
          <w:color w:val="1F4E79"/>
          <w:lang w:eastAsia="it-IT"/>
        </w:rPr>
        <w:t>5.A.2. Tipologia dell’attività/progetto</w:t>
      </w:r>
      <w:r>
        <w:rPr>
          <w:rFonts w:eastAsia="Times New Roman" w:cs="Calibri"/>
          <w:color w:val="1F4E79"/>
          <w:lang w:eastAsia="it-IT"/>
        </w:rPr>
        <w:t> </w:t>
      </w:r>
    </w:p>
    <w:tbl>
      <w:tblPr>
        <w:tblW w:w="9646" w:type="dxa"/>
        <w:jc w:val="left"/>
        <w:tblInd w:w="0" w:type="dxa"/>
        <w:tblCellMar>
          <w:top w:w="0" w:type="dxa"/>
          <w:left w:w="7" w:type="dxa"/>
          <w:bottom w:w="0" w:type="dxa"/>
          <w:right w:w="7" w:type="dxa"/>
        </w:tblCellMar>
        <w:tblLook w:firstRow="1" w:noVBand="1" w:lastRow="0" w:firstColumn="1" w:lastColumn="0" w:noHBand="0" w:val="04a0"/>
      </w:tblPr>
      <w:tblGrid>
        <w:gridCol w:w="269"/>
        <w:gridCol w:w="9376"/>
      </w:tblGrid>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Nuova OOPP </w:t>
            </w:r>
          </w:p>
        </w:tc>
      </w:tr>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Ampliamento/completamento OOPP  </w:t>
            </w:r>
          </w:p>
        </w:tc>
      </w:tr>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Acquisizione Servizi </w:t>
            </w:r>
          </w:p>
        </w:tc>
      </w:tr>
      <w:tr>
        <w:trPr>
          <w:trHeight w:val="300" w:hRule="atLeast"/>
        </w:trPr>
        <w:tc>
          <w:tcPr>
            <w:tcW w:w="26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9376" w:type="dxa"/>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Acquisto forniture </w:t>
            </w:r>
          </w:p>
        </w:tc>
      </w:tr>
    </w:tbl>
    <w:p>
      <w:pPr>
        <w:pStyle w:val="Normal"/>
        <w:tabs>
          <w:tab w:val="clear" w:pos="708"/>
          <w:tab w:val="left" w:pos="142" w:leader="none"/>
        </w:tabs>
        <w:spacing w:lineRule="auto" w:line="240" w:before="0" w:after="0"/>
        <w:ind w:left="142" w:hanging="0"/>
        <w:jc w:val="both"/>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i/>
          <w:iCs/>
          <w:color w:val="1F4E79"/>
          <w:lang w:eastAsia="it-IT"/>
        </w:rPr>
        <w:t>5.A.3. Descrizione sintetica dell’attività/progetto</w:t>
      </w:r>
      <w:r>
        <w:rPr>
          <w:rFonts w:eastAsia="Times New Roman" w:cs="Calibri"/>
          <w:color w:val="1F4E79"/>
          <w:lang w:eastAsia="it-IT"/>
        </w:rPr>
        <w:t> </w:t>
      </w:r>
    </w:p>
    <w:tbl>
      <w:tblPr>
        <w:tblW w:w="9778" w:type="dxa"/>
        <w:jc w:val="left"/>
        <w:tblInd w:w="0" w:type="dxa"/>
        <w:tblCellMar>
          <w:top w:w="0" w:type="dxa"/>
          <w:left w:w="108" w:type="dxa"/>
          <w:bottom w:w="0" w:type="dxa"/>
          <w:right w:w="108" w:type="dxa"/>
        </w:tblCellMar>
        <w:tblLook w:firstRow="1" w:noVBand="1" w:lastRow="0" w:firstColumn="1" w:lastColumn="0" w:noHBand="0" w:val="04a0"/>
      </w:tblPr>
      <w:tblGrid>
        <w:gridCol w:w="9778"/>
      </w:tblGrid>
      <w:tr>
        <w:trPr>
          <w:trHeight w:val="2241" w:hRule="atLeast"/>
        </w:trPr>
        <w:tc>
          <w:tcPr>
            <w:tcW w:w="9778" w:type="dxa"/>
            <w:tcBorders>
              <w:top w:val="single" w:sz="4" w:space="0" w:color="000000"/>
              <w:left w:val="single" w:sz="4" w:space="0" w:color="000000"/>
              <w:bottom w:val="single" w:sz="4" w:space="0" w:color="000000"/>
              <w:right w:val="single" w:sz="4" w:space="0" w:color="000000"/>
            </w:tcBorders>
          </w:tcPr>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tc>
      </w:tr>
    </w:tbl>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III </w:t>
        <w:br/>
        <w:t>AVANZAMENTO TECNICO PROCEDURALE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i/>
          <w:i/>
          <w:iCs/>
          <w:color w:val="1F4D78"/>
          <w:lang w:eastAsia="it-IT"/>
        </w:rPr>
      </w:pPr>
      <w:r>
        <w:rPr>
          <w:rFonts w:eastAsia="Times New Roman" w:cs="Calibri Light" w:ascii="Calibri Light" w:hAnsi="Calibri Light"/>
          <w:i/>
          <w:iCs/>
          <w:color w:val="1F4D78"/>
          <w:lang w:eastAsia="it-IT"/>
        </w:rPr>
        <w:t>6. Cronogramma dell’Operazione</w:t>
      </w:r>
      <w:r>
        <w:rPr>
          <w:rFonts w:eastAsia="Times New Roman" w:cs="Calibri"/>
          <w:i/>
          <w:iCs/>
          <w:color w:val="1F4D78"/>
          <w:vertAlign w:val="superscript"/>
          <w:lang w:eastAsia="it-IT"/>
        </w:rPr>
        <w:t>2</w:t>
      </w:r>
      <w:r>
        <w:rPr>
          <w:rFonts w:eastAsia="Times New Roman" w:cs="Calibri Light" w:ascii="Calibri Light" w:hAnsi="Calibri Light"/>
          <w:i/>
          <w:iCs/>
          <w:color w:val="1F4D78"/>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b/>
          <w:bCs/>
          <w:lang w:eastAsia="it-IT"/>
        </w:rPr>
        <w:t>Cronoprogrammi da adottare per la tipologia “opere pubbliche”</w:t>
      </w: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b/>
          <w:bCs/>
          <w:lang w:eastAsia="it-IT"/>
        </w:rPr>
        <w:t>Cronoprogramma da adottare in caso di ricorso a procedura d’appalto lavori effettuata su progetto esecutivo: </w:t>
      </w:r>
      <w:r>
        <w:rPr>
          <w:rFonts w:eastAsia="Times New Roman" w:cs="Calibri"/>
          <w:lang w:eastAsia="it-IT"/>
        </w:rPr>
        <w:t> </w:t>
      </w:r>
    </w:p>
    <w:tbl>
      <w:tblPr>
        <w:tblW w:w="9511" w:type="dxa"/>
        <w:jc w:val="left"/>
        <w:tblInd w:w="157" w:type="dxa"/>
        <w:tblCellMar>
          <w:top w:w="0" w:type="dxa"/>
          <w:left w:w="15" w:type="dxa"/>
          <w:bottom w:w="0" w:type="dxa"/>
          <w:right w:w="15" w:type="dxa"/>
        </w:tblCellMar>
        <w:tblLook w:firstRow="1" w:noVBand="1" w:lastRow="0" w:firstColumn="1" w:lastColumn="0" w:noHBand="0" w:val="04a0"/>
      </w:tblPr>
      <w:tblGrid>
        <w:gridCol w:w="1133"/>
        <w:gridCol w:w="1149"/>
        <w:gridCol w:w="1042"/>
        <w:gridCol w:w="1040"/>
        <w:gridCol w:w="1032"/>
        <w:gridCol w:w="761"/>
        <w:gridCol w:w="847"/>
        <w:gridCol w:w="707"/>
        <w:gridCol w:w="1217"/>
        <w:gridCol w:w="582"/>
      </w:tblGrid>
      <w:tr>
        <w:trPr>
          <w:trHeight w:val="420" w:hRule="atLeast"/>
        </w:trPr>
        <w:tc>
          <w:tcPr>
            <w:tcW w:w="9510" w:type="dxa"/>
            <w:gridSpan w:val="10"/>
            <w:tcBorders>
              <w:top w:val="single" w:sz="12" w:space="0" w:color="000000"/>
              <w:left w:val="single" w:sz="12" w:space="0" w:color="000000"/>
              <w:bottom w:val="single" w:sz="6" w:space="0" w:color="000000"/>
              <w:right w:val="single" w:sz="12" w:space="0" w:color="000000"/>
            </w:tcBorders>
            <w:shd w:color="auto" w:fill="CCFFCC"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Step Procedurale </w:t>
            </w:r>
          </w:p>
        </w:tc>
      </w:tr>
      <w:tr>
        <w:trPr>
          <w:trHeight w:val="1410" w:hRule="atLeast"/>
        </w:trPr>
        <w:tc>
          <w:tcPr>
            <w:tcW w:w="1133" w:type="dxa"/>
            <w:tcBorders>
              <w:top w:val="single" w:sz="6" w:space="0" w:color="000000"/>
              <w:left w:val="single" w:sz="12" w:space="0" w:color="000000"/>
              <w:bottom w:val="single" w:sz="6" w:space="0" w:color="000000"/>
              <w:right w:val="single" w:sz="6" w:space="0" w:color="000000"/>
            </w:tcBorders>
            <w:shd w:color="auto" w:fill="BDD6EE" w:val="clear"/>
            <w:vAlign w:val="center"/>
          </w:tcPr>
          <w:p>
            <w:pPr>
              <w:pStyle w:val="Normal"/>
              <w:tabs>
                <w:tab w:val="clear" w:pos="708"/>
                <w:tab w:val="left" w:pos="142" w:leader="none"/>
              </w:tabs>
              <w:spacing w:lineRule="auto" w:line="240" w:before="0" w:after="0"/>
              <w:ind w:left="142" w:right="105"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Sottoscrizione disciplinare di finanziamento  </w:t>
            </w:r>
          </w:p>
        </w:tc>
        <w:tc>
          <w:tcPr>
            <w:tcW w:w="1149"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Conferimento incarico di progettazione e degli ulteriori servizi di architettura ed ingegneria (DL, Coord. Sicurezza, etc…) * </w:t>
            </w:r>
          </w:p>
        </w:tc>
        <w:tc>
          <w:tcPr>
            <w:tcW w:w="1042"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Redazione progettazione esecutiva * </w:t>
            </w:r>
          </w:p>
        </w:tc>
        <w:tc>
          <w:tcPr>
            <w:tcW w:w="1040"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Approvazione progettazione esecutiva * </w:t>
            </w:r>
          </w:p>
        </w:tc>
        <w:tc>
          <w:tcPr>
            <w:tcW w:w="1032"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Espletamento procedure d’appalto per lavori </w:t>
            </w:r>
          </w:p>
        </w:tc>
        <w:tc>
          <w:tcPr>
            <w:tcW w:w="761"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Consegna lavori </w:t>
            </w:r>
          </w:p>
        </w:tc>
        <w:tc>
          <w:tcPr>
            <w:tcW w:w="84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Esecuzione lavori </w:t>
            </w:r>
          </w:p>
        </w:tc>
        <w:tc>
          <w:tcPr>
            <w:tcW w:w="70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Collaudo lavori </w:t>
            </w:r>
          </w:p>
        </w:tc>
        <w:tc>
          <w:tcPr>
            <w:tcW w:w="1217"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Rendicontazione finale </w:t>
            </w:r>
          </w:p>
        </w:tc>
        <w:tc>
          <w:tcPr>
            <w:tcW w:w="582" w:type="dxa"/>
            <w:tcBorders>
              <w:top w:val="single" w:sz="6"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Totale (mesi) </w:t>
            </w:r>
          </w:p>
        </w:tc>
      </w:tr>
      <w:tr>
        <w:trPr>
          <w:trHeight w:val="300" w:hRule="atLeast"/>
        </w:trPr>
        <w:tc>
          <w:tcPr>
            <w:tcW w:w="1133" w:type="dxa"/>
            <w:tcBorders>
              <w:top w:val="single" w:sz="6" w:space="0" w:color="000000"/>
              <w:left w:val="single" w:sz="12"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Tempistica massima prevista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(in mesi) </w:t>
            </w:r>
          </w:p>
        </w:tc>
        <w:tc>
          <w:tcPr>
            <w:tcW w:w="1149"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42"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40"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32"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6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847"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07"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217"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582" w:type="dxa"/>
            <w:tcBorders>
              <w:top w:val="single" w:sz="6" w:space="0" w:color="000000"/>
              <w:left w:val="single" w:sz="6" w:space="0" w:color="000000"/>
              <w:bottom w:val="single" w:sz="12" w:space="0" w:color="000000"/>
              <w:right w:val="single" w:sz="12"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se provvedimento di finanziamento emesso su progetto esecutivo valorizzare i campi successivi ad “espletamento procedure d’appalto lavori”.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b/>
          <w:bCs/>
          <w:lang w:eastAsia="it-IT"/>
        </w:rPr>
        <w:t>Cronoprogramma da adottare solo In caso di ricorso ad “appalto integrato” nei casi previsti dal D. Lgs. 50/2016e dal D.Lgs. 36/2023:</w:t>
      </w:r>
      <w:r>
        <w:rPr>
          <w:rFonts w:eastAsia="Times New Roman" w:cs="Calibri"/>
          <w:b/>
          <w:bCs/>
          <w:color w:val="0078D4"/>
          <w:lang w:eastAsia="it-IT"/>
        </w:rPr>
        <w:t> </w:t>
      </w:r>
      <w:r>
        <w:rPr>
          <w:rFonts w:eastAsia="Times New Roman" w:cs="Calibri"/>
          <w:b/>
          <w:bCs/>
          <w:lang w:eastAsia="it-IT"/>
        </w:rPr>
        <w:t> </w:t>
      </w: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tbl>
      <w:tblPr>
        <w:tblW w:w="9511" w:type="dxa"/>
        <w:jc w:val="left"/>
        <w:tblInd w:w="157" w:type="dxa"/>
        <w:tblCellMar>
          <w:top w:w="0" w:type="dxa"/>
          <w:left w:w="15" w:type="dxa"/>
          <w:bottom w:w="0" w:type="dxa"/>
          <w:right w:w="7" w:type="dxa"/>
        </w:tblCellMar>
        <w:tblLook w:firstRow="1" w:noVBand="1" w:lastRow="0" w:firstColumn="1" w:lastColumn="0" w:noHBand="0" w:val="04a0"/>
      </w:tblPr>
      <w:tblGrid>
        <w:gridCol w:w="1173"/>
        <w:gridCol w:w="1051"/>
        <w:gridCol w:w="1051"/>
        <w:gridCol w:w="1051"/>
        <w:gridCol w:w="1051"/>
        <w:gridCol w:w="765"/>
        <w:gridCol w:w="850"/>
        <w:gridCol w:w="709"/>
        <w:gridCol w:w="1229"/>
        <w:gridCol w:w="580"/>
      </w:tblGrid>
      <w:tr>
        <w:trPr>
          <w:trHeight w:val="1410" w:hRule="atLeast"/>
        </w:trPr>
        <w:tc>
          <w:tcPr>
            <w:tcW w:w="1173" w:type="dxa"/>
            <w:tcBorders>
              <w:top w:val="single" w:sz="12" w:space="0" w:color="000000"/>
              <w:left w:val="single" w:sz="12" w:space="0" w:color="000000"/>
              <w:bottom w:val="single" w:sz="6" w:space="0" w:color="000000"/>
              <w:right w:val="single" w:sz="6" w:space="0" w:color="000000"/>
            </w:tcBorders>
            <w:shd w:color="auto" w:fill="BDD6EE" w:val="clear"/>
            <w:vAlign w:val="center"/>
          </w:tcPr>
          <w:p>
            <w:pPr>
              <w:pStyle w:val="Normal"/>
              <w:tabs>
                <w:tab w:val="clear" w:pos="708"/>
                <w:tab w:val="left" w:pos="142" w:leader="none"/>
              </w:tabs>
              <w:spacing w:lineRule="auto" w:line="240" w:before="0" w:after="0"/>
              <w:ind w:left="142" w:right="105"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Sottoscrizione disciplinare di finanziamento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Redazione ed approvazione progettazione definitiva **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Espletamento procedure d’appalto per progettazione esecutiva e lavori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Redazione progettazione esecutiva  </w:t>
            </w:r>
          </w:p>
        </w:tc>
        <w:tc>
          <w:tcPr>
            <w:tcW w:w="105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Approvazione progettazione esecutiva  </w:t>
            </w:r>
          </w:p>
        </w:tc>
        <w:tc>
          <w:tcPr>
            <w:tcW w:w="765"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Consegna lavori </w:t>
            </w:r>
          </w:p>
        </w:tc>
        <w:tc>
          <w:tcPr>
            <w:tcW w:w="850"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Esecuzione lavori </w:t>
            </w:r>
          </w:p>
        </w:tc>
        <w:tc>
          <w:tcPr>
            <w:tcW w:w="709"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Collaudo lavori </w:t>
            </w:r>
          </w:p>
        </w:tc>
        <w:tc>
          <w:tcPr>
            <w:tcW w:w="1229"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Rendicontazione finale </w:t>
            </w:r>
          </w:p>
        </w:tc>
        <w:tc>
          <w:tcPr>
            <w:tcW w:w="580" w:type="dxa"/>
            <w:tcBorders>
              <w:top w:val="single" w:sz="12"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Totale (mesi) </w:t>
            </w:r>
          </w:p>
        </w:tc>
      </w:tr>
      <w:tr>
        <w:trPr>
          <w:trHeight w:val="300" w:hRule="atLeast"/>
        </w:trPr>
        <w:tc>
          <w:tcPr>
            <w:tcW w:w="1173" w:type="dxa"/>
            <w:tcBorders>
              <w:top w:val="single" w:sz="6" w:space="0" w:color="000000"/>
              <w:left w:val="single" w:sz="12"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Tempistica massima prevista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(in mesi) </w:t>
            </w:r>
          </w:p>
        </w:tc>
        <w:tc>
          <w:tcPr>
            <w:tcW w:w="1051"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5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5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05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65"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850"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09"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229"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580" w:type="dxa"/>
            <w:tcBorders>
              <w:top w:val="single" w:sz="6" w:space="0" w:color="000000"/>
              <w:left w:val="single" w:sz="6" w:space="0" w:color="000000"/>
              <w:bottom w:val="single" w:sz="12" w:space="0" w:color="000000"/>
              <w:right w:val="single" w:sz="12"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se provvedimento di finanziamento emesso su progetto definitivo valorizzare i campi successivi ad “espletamento procedure d’appalto per progettazione esecutiva e lavori”.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eastAsia="Times New Roman" w:cs="Calibri"/>
          <w:b/>
          <w:b/>
          <w:bCs/>
          <w:color w:val="0078D4"/>
          <w:lang w:eastAsia="it-IT"/>
        </w:rPr>
      </w:pPr>
      <w:r>
        <w:rPr>
          <w:rFonts w:eastAsia="Times New Roman" w:cs="Calibri"/>
          <w:b/>
          <w:bCs/>
          <w:lang w:eastAsia="it-IT"/>
        </w:rPr>
        <w:t>Cronoprogramma da adottare per tipologia Acquisizione di beni o servizi:</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tbl>
      <w:tblPr>
        <w:tblW w:w="9495" w:type="dxa"/>
        <w:jc w:val="left"/>
        <w:tblInd w:w="135" w:type="dxa"/>
        <w:tblCellMar>
          <w:top w:w="0" w:type="dxa"/>
          <w:left w:w="15" w:type="dxa"/>
          <w:bottom w:w="0" w:type="dxa"/>
          <w:right w:w="7" w:type="dxa"/>
        </w:tblCellMar>
        <w:tblLook w:firstRow="1" w:noVBand="1" w:lastRow="0" w:firstColumn="1" w:lastColumn="0" w:noHBand="0" w:val="04a0"/>
      </w:tblPr>
      <w:tblGrid>
        <w:gridCol w:w="1650"/>
        <w:gridCol w:w="1844"/>
        <w:gridCol w:w="1830"/>
        <w:gridCol w:w="1801"/>
        <w:gridCol w:w="1589"/>
        <w:gridCol w:w="780"/>
      </w:tblGrid>
      <w:tr>
        <w:trPr>
          <w:trHeight w:val="1215" w:hRule="atLeast"/>
        </w:trPr>
        <w:tc>
          <w:tcPr>
            <w:tcW w:w="1650" w:type="dxa"/>
            <w:tcBorders>
              <w:top w:val="single" w:sz="12" w:space="0" w:color="000000"/>
              <w:left w:val="single" w:sz="12" w:space="0" w:color="000000"/>
              <w:bottom w:val="single" w:sz="6" w:space="0" w:color="000000"/>
              <w:right w:val="single" w:sz="6" w:space="0" w:color="000000"/>
            </w:tcBorders>
            <w:shd w:color="auto" w:fill="BDD6EE" w:val="clear"/>
            <w:vAlign w:val="center"/>
          </w:tcPr>
          <w:p>
            <w:pPr>
              <w:pStyle w:val="Normal"/>
              <w:tabs>
                <w:tab w:val="clear" w:pos="708"/>
                <w:tab w:val="left" w:pos="142" w:leader="none"/>
              </w:tabs>
              <w:spacing w:lineRule="auto" w:line="240" w:before="0" w:after="0"/>
              <w:ind w:left="142" w:right="105"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Sottoscrizione disciplinare di finanziamento  </w:t>
            </w:r>
          </w:p>
        </w:tc>
        <w:tc>
          <w:tcPr>
            <w:tcW w:w="1844"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Espletamento procedure di evidenza pubblica per l’individuazione del soggetto incaricato della fornitura del bene finanziato / erogazione del servizio finanziato</w:t>
            </w:r>
            <w:r>
              <w:rPr>
                <w:rFonts w:eastAsia="Times New Roman" w:cs="Calibri"/>
                <w:b/>
                <w:bCs/>
                <w:strike/>
                <w:color w:val="0078D4"/>
                <w:sz w:val="14"/>
                <w:szCs w:val="14"/>
                <w:lang w:eastAsia="it-IT"/>
              </w:rPr>
              <w:t> </w:t>
            </w:r>
            <w:r>
              <w:rPr>
                <w:rFonts w:eastAsia="Times New Roman" w:cs="Calibri"/>
                <w:b/>
                <w:bCs/>
                <w:sz w:val="14"/>
                <w:szCs w:val="14"/>
                <w:lang w:eastAsia="it-IT"/>
              </w:rPr>
              <w:t>e stipula contratto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830"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Acquisizione beni finanziati / espletamento servizi  </w:t>
            </w:r>
          </w:p>
        </w:tc>
        <w:tc>
          <w:tcPr>
            <w:tcW w:w="1801"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Verifiche finali sulla conformità dei beni/servizi acquisiti    </w:t>
            </w:r>
          </w:p>
        </w:tc>
        <w:tc>
          <w:tcPr>
            <w:tcW w:w="1589"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Rendicontazione finale  </w:t>
            </w:r>
          </w:p>
        </w:tc>
        <w:tc>
          <w:tcPr>
            <w:tcW w:w="780" w:type="dxa"/>
            <w:tcBorders>
              <w:top w:val="single" w:sz="12"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Totale (mesi) </w:t>
            </w:r>
          </w:p>
        </w:tc>
      </w:tr>
      <w:tr>
        <w:trPr>
          <w:trHeight w:val="300" w:hRule="atLeast"/>
        </w:trPr>
        <w:tc>
          <w:tcPr>
            <w:tcW w:w="1650" w:type="dxa"/>
            <w:tcBorders>
              <w:top w:val="single" w:sz="6" w:space="0" w:color="000000"/>
              <w:left w:val="single" w:sz="12"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Tempistica massima prevista  </w:t>
            </w:r>
          </w:p>
          <w:p>
            <w:pPr>
              <w:pStyle w:val="Normal"/>
              <w:tabs>
                <w:tab w:val="clear" w:pos="708"/>
                <w:tab w:val="left" w:pos="142" w:leader="none"/>
              </w:tabs>
              <w:spacing w:lineRule="auto" w:line="240" w:before="0" w:after="0"/>
              <w:ind w:left="142" w:hanging="0"/>
              <w:jc w:val="center"/>
              <w:rPr>
                <w:rFonts w:ascii="Times New Roman" w:hAnsi="Times New Roman" w:eastAsia="Times New Roman"/>
                <w:b/>
                <w:b/>
                <w:bCs/>
                <w:sz w:val="14"/>
                <w:szCs w:val="14"/>
                <w:lang w:eastAsia="it-IT"/>
              </w:rPr>
            </w:pPr>
            <w:r>
              <w:rPr>
                <w:rFonts w:eastAsia="Times New Roman" w:cs="Calibri"/>
                <w:b/>
                <w:bCs/>
                <w:sz w:val="14"/>
                <w:szCs w:val="14"/>
                <w:lang w:eastAsia="it-IT"/>
              </w:rPr>
              <w:t>(in mesi) </w:t>
            </w:r>
          </w:p>
        </w:tc>
        <w:tc>
          <w:tcPr>
            <w:tcW w:w="1844"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830"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801"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1589" w:type="dxa"/>
            <w:tcBorders>
              <w:top w:val="single" w:sz="6" w:space="0" w:color="000000"/>
              <w:left w:val="single" w:sz="6" w:space="0" w:color="000000"/>
              <w:bottom w:val="single" w:sz="12"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c>
          <w:tcPr>
            <w:tcW w:w="780" w:type="dxa"/>
            <w:tcBorders>
              <w:top w:val="single" w:sz="6" w:space="0" w:color="000000"/>
              <w:left w:val="single" w:sz="6" w:space="0" w:color="000000"/>
              <w:bottom w:val="single" w:sz="12" w:space="0" w:color="000000"/>
              <w:right w:val="single" w:sz="12" w:space="0" w:color="000000"/>
            </w:tcBorders>
            <w:shd w:color="auto" w:fill="auto" w:val="clear"/>
          </w:tcPr>
          <w:p>
            <w:pPr>
              <w:pStyle w:val="Normal"/>
              <w:tabs>
                <w:tab w:val="clear" w:pos="708"/>
                <w:tab w:val="left" w:pos="142" w:leader="none"/>
              </w:tabs>
              <w:spacing w:lineRule="auto" w:line="240" w:before="0" w:after="0"/>
              <w:ind w:left="142" w:hanging="24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0" w:leader="none"/>
        </w:tabs>
        <w:spacing w:lineRule="auto" w:line="240" w:before="0" w:after="0"/>
        <w:jc w:val="center"/>
        <w:rPr>
          <w:rFonts w:ascii="Segoe UI" w:hAnsi="Segoe UI" w:eastAsia="Times New Roman" w:cs="Segoe UI"/>
          <w:b/>
          <w:b/>
          <w:bCs/>
          <w:color w:val="1F4D78"/>
          <w:lang w:eastAsia="it-IT"/>
        </w:rPr>
      </w:pPr>
      <w:r>
        <w:rPr>
          <w:rFonts w:eastAsia="Times New Roman" w:cs="Segoe UI" w:ascii="Segoe UI" w:hAnsi="Segoe UI"/>
          <w:b/>
          <w:bCs/>
          <w:color w:val="1F4D78"/>
          <w:lang w:eastAsia="it-IT"/>
        </w:rPr>
      </w:r>
    </w:p>
    <w:p>
      <w:pPr>
        <w:pStyle w:val="Normal"/>
        <w:shd w:val="clear" w:color="auto" w:fill="F2F2F2"/>
        <w:tabs>
          <w:tab w:val="clear" w:pos="708"/>
          <w:tab w:val="left" w:pos="0" w:leader="none"/>
        </w:tabs>
        <w:spacing w:lineRule="auto" w:line="240" w:before="0" w:after="0"/>
        <w:jc w:val="center"/>
        <w:rPr>
          <w:rFonts w:ascii="Calibri Light" w:hAnsi="Calibri Light" w:eastAsia="Times New Roman" w:cs="Calibri Light"/>
          <w:b/>
          <w:b/>
          <w:bCs/>
          <w:color w:val="1F4D78"/>
          <w:lang w:eastAsia="it-IT"/>
        </w:rPr>
      </w:pPr>
      <w:r>
        <w:rPr>
          <w:rFonts w:eastAsia="Times New Roman" w:cs="Calibri Light" w:ascii="Calibri Light" w:hAnsi="Calibri Light"/>
          <w:b/>
          <w:color w:val="1F4D78"/>
          <w:lang w:eastAsia="it-IT"/>
        </w:rPr>
        <w:t>SEZIONE IV </w:t>
        <w:br/>
        <w:t>PIANO FINANZIARIO </w:t>
      </w:r>
    </w:p>
    <w:p>
      <w:pPr>
        <w:pStyle w:val="Normal"/>
        <w:tabs>
          <w:tab w:val="clear" w:pos="708"/>
          <w:tab w:val="left" w:pos="142" w:leader="none"/>
        </w:tabs>
        <w:spacing w:lineRule="auto" w:line="240" w:before="0" w:after="0"/>
        <w:ind w:left="142" w:hanging="0"/>
        <w:rPr>
          <w:rFonts w:ascii="Segoe UI" w:hAnsi="Segoe UI" w:eastAsia="Times New Roman" w:cs="Segoe UI"/>
          <w:b/>
          <w:b/>
          <w:lang w:eastAsia="it-IT"/>
        </w:rPr>
      </w:pPr>
      <w:r>
        <w:rPr>
          <w:rFonts w:eastAsia="Times New Roman" w:cs="Calibri"/>
          <w:b/>
          <w:lang w:eastAsia="it-IT"/>
        </w:rPr>
        <w:t> </w:t>
      </w:r>
    </w:p>
    <w:p>
      <w:pPr>
        <w:pStyle w:val="Normal"/>
        <w:numPr>
          <w:ilvl w:val="0"/>
          <w:numId w:val="1"/>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Fonti finanziarie dell’Operazione </w:t>
      </w:r>
    </w:p>
    <w:tbl>
      <w:tblPr>
        <w:tblW w:w="9480" w:type="dxa"/>
        <w:jc w:val="left"/>
        <w:tblInd w:w="105" w:type="dxa"/>
        <w:tblCellMar>
          <w:top w:w="0" w:type="dxa"/>
          <w:left w:w="7" w:type="dxa"/>
          <w:bottom w:w="0" w:type="dxa"/>
          <w:right w:w="7" w:type="dxa"/>
        </w:tblCellMar>
        <w:tblLook w:firstRow="1" w:noVBand="1" w:lastRow="0" w:firstColumn="1" w:lastColumn="0" w:noHBand="0" w:val="04a0"/>
      </w:tblPr>
      <w:tblGrid>
        <w:gridCol w:w="2594"/>
        <w:gridCol w:w="4905"/>
        <w:gridCol w:w="1981"/>
      </w:tblGrid>
      <w:tr>
        <w:trPr>
          <w:trHeight w:val="540" w:hRule="atLeast"/>
        </w:trPr>
        <w:tc>
          <w:tcPr>
            <w:tcW w:w="2594" w:type="dxa"/>
            <w:vMerge w:val="restart"/>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Quadro finanziario dell’operazione </w:t>
            </w:r>
          </w:p>
        </w:tc>
        <w:tc>
          <w:tcPr>
            <w:tcW w:w="4905" w:type="dxa"/>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Finanziamento richiesto a valere sull’azione _____________ del PR FESR Sicilia 2021-2027</w:t>
            </w:r>
          </w:p>
        </w:tc>
        <w:tc>
          <w:tcPr>
            <w:tcW w:w="1981" w:type="dxa"/>
            <w:tcBorders>
              <w:top w:val="single" w:sz="12"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r>
        <w:trPr>
          <w:trHeight w:val="300" w:hRule="atLeast"/>
        </w:trPr>
        <w:tc>
          <w:tcPr>
            <w:tcW w:w="2594" w:type="dxa"/>
            <w:vMerge w:val="continue"/>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b/>
                <w:b/>
                <w:bCs/>
                <w:sz w:val="14"/>
                <w:szCs w:val="14"/>
                <w:lang w:eastAsia="it-IT"/>
              </w:rPr>
            </w:pPr>
            <w:r>
              <w:rPr>
                <w:rFonts w:eastAsia="Times New Roman" w:ascii="Times New Roman" w:hAnsi="Times New Roman"/>
                <w:b/>
                <w:bCs/>
                <w:sz w:val="14"/>
                <w:szCs w:val="14"/>
                <w:lang w:eastAsia="it-IT"/>
              </w:rPr>
            </w:r>
          </w:p>
        </w:tc>
        <w:tc>
          <w:tcPr>
            <w:tcW w:w="4905"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Eventuale cofinanziamento pubblico a valere su risorse di cui al  ________________ (indicare il canale finanziario in caso di cofinanziamento pubblico)  </w:t>
            </w:r>
          </w:p>
        </w:tc>
        <w:tc>
          <w:tcPr>
            <w:tcW w:w="1981" w:type="dxa"/>
            <w:tcBorders>
              <w:top w:val="single" w:sz="6"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r>
        <w:trPr>
          <w:trHeight w:val="300" w:hRule="atLeast"/>
        </w:trPr>
        <w:tc>
          <w:tcPr>
            <w:tcW w:w="2594" w:type="dxa"/>
            <w:vMerge w:val="continue"/>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b/>
                <w:b/>
                <w:bCs/>
                <w:sz w:val="14"/>
                <w:szCs w:val="14"/>
                <w:lang w:eastAsia="it-IT"/>
              </w:rPr>
            </w:pPr>
            <w:r>
              <w:rPr>
                <w:rFonts w:eastAsia="Times New Roman" w:ascii="Times New Roman" w:hAnsi="Times New Roman"/>
                <w:b/>
                <w:bCs/>
                <w:sz w:val="14"/>
                <w:szCs w:val="14"/>
                <w:lang w:eastAsia="it-IT"/>
              </w:rPr>
            </w:r>
          </w:p>
        </w:tc>
        <w:tc>
          <w:tcPr>
            <w:tcW w:w="4905" w:type="dxa"/>
            <w:tcBorders>
              <w:top w:val="single" w:sz="6"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Eventuale cofinanziamento privato (specificare gli elementi sui quali interviene il soggetto privato e le modalità di selezione del soggetto mediante la predisposizione di un allegato alla presente scheda) </w:t>
            </w:r>
          </w:p>
        </w:tc>
        <w:tc>
          <w:tcPr>
            <w:tcW w:w="1981" w:type="dxa"/>
            <w:tcBorders>
              <w:top w:val="single" w:sz="6" w:space="0" w:color="000000"/>
              <w:left w:val="single" w:sz="6" w:space="0" w:color="000000"/>
              <w:bottom w:val="single" w:sz="6"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r>
        <w:trPr>
          <w:trHeight w:val="300" w:hRule="atLeast"/>
        </w:trPr>
        <w:tc>
          <w:tcPr>
            <w:tcW w:w="2594" w:type="dxa"/>
            <w:vMerge w:val="continue"/>
            <w:tcBorders>
              <w:top w:val="single" w:sz="12" w:space="0" w:color="000000"/>
              <w:left w:val="single" w:sz="6" w:space="0" w:color="000000"/>
              <w:bottom w:val="single" w:sz="6"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rPr>
                <w:rFonts w:ascii="Times New Roman" w:hAnsi="Times New Roman" w:eastAsia="Times New Roman"/>
                <w:b/>
                <w:b/>
                <w:bCs/>
                <w:sz w:val="14"/>
                <w:szCs w:val="14"/>
                <w:lang w:eastAsia="it-IT"/>
              </w:rPr>
            </w:pPr>
            <w:r>
              <w:rPr>
                <w:rFonts w:eastAsia="Times New Roman" w:ascii="Times New Roman" w:hAnsi="Times New Roman"/>
                <w:b/>
                <w:bCs/>
                <w:sz w:val="14"/>
                <w:szCs w:val="14"/>
                <w:lang w:eastAsia="it-IT"/>
              </w:rPr>
            </w:r>
          </w:p>
        </w:tc>
        <w:tc>
          <w:tcPr>
            <w:tcW w:w="4905" w:type="dxa"/>
            <w:tcBorders>
              <w:top w:val="single" w:sz="6" w:space="0" w:color="000000"/>
              <w:left w:val="single" w:sz="6" w:space="0" w:color="000000"/>
              <w:bottom w:val="single" w:sz="12" w:space="0" w:color="000000"/>
              <w:right w:val="single" w:sz="6"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Importo totale intervento  </w:t>
            </w:r>
          </w:p>
        </w:tc>
        <w:tc>
          <w:tcPr>
            <w:tcW w:w="1981" w:type="dxa"/>
            <w:tcBorders>
              <w:top w:val="single" w:sz="6" w:space="0" w:color="000000"/>
              <w:left w:val="single" w:sz="6" w:space="0" w:color="000000"/>
              <w:bottom w:val="single" w:sz="12" w:space="0" w:color="000000"/>
              <w:right w:val="single" w:sz="12" w:space="0" w:color="000000"/>
            </w:tcBorders>
            <w:shd w:color="auto" w:fill="auto" w:val="clear"/>
            <w:vAlign w:val="center"/>
          </w:tcPr>
          <w:p>
            <w:pPr>
              <w:pStyle w:val="Normal"/>
              <w:tabs>
                <w:tab w:val="clear" w:pos="708"/>
                <w:tab w:val="left" w:pos="142" w:leader="none"/>
              </w:tabs>
              <w:spacing w:lineRule="auto" w:line="240" w:before="0" w:after="0"/>
              <w:ind w:left="142" w:hanging="0"/>
              <w:jc w:val="both"/>
              <w:rPr>
                <w:rFonts w:ascii="Times New Roman" w:hAnsi="Times New Roman" w:eastAsia="Times New Roman"/>
                <w:b/>
                <w:b/>
                <w:bCs/>
                <w:sz w:val="14"/>
                <w:szCs w:val="14"/>
                <w:lang w:eastAsia="it-IT"/>
              </w:rPr>
            </w:pPr>
            <w:r>
              <w:rPr>
                <w:rFonts w:eastAsia="Times New Roman" w:cs="Calibri"/>
                <w:b/>
                <w:bCs/>
                <w:sz w:val="14"/>
                <w:szCs w:val="14"/>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2"/>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Profilo pluriennale di impegni e pagamenti dell’Operazione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1670"/>
        <w:gridCol w:w="4162"/>
        <w:gridCol w:w="3672"/>
      </w:tblGrid>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Anno</w:t>
            </w:r>
            <w:r>
              <w:rPr>
                <w:rFonts w:eastAsia="Times New Roman" w:cs="Calibri"/>
                <w:lang w:eastAsia="it-IT"/>
              </w:rPr>
              <w:t> </w:t>
            </w:r>
          </w:p>
        </w:tc>
        <w:tc>
          <w:tcPr>
            <w:tcW w:w="4162"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Impegno Previsto</w:t>
            </w: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Pagamento Previsto</w:t>
            </w: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ascii="Times New Roman" w:hAnsi="Times New Roman"/>
                <w:lang w:eastAsia="it-IT"/>
              </w:rPr>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270" w:hRule="atLeast"/>
        </w:trPr>
        <w:tc>
          <w:tcPr>
            <w:tcW w:w="1670"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TOTALE</w:t>
            </w:r>
            <w:r>
              <w:rPr>
                <w:rFonts w:eastAsia="Times New Roman" w:cs="Calibri"/>
                <w:lang w:eastAsia="it-IT"/>
              </w:rPr>
              <w:t> </w:t>
            </w:r>
          </w:p>
        </w:tc>
        <w:tc>
          <w:tcPr>
            <w:tcW w:w="416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367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Segoe UI" w:ascii="Segoe UI" w:hAnsi="Segoe UI"/>
          <w:lang w:eastAsia="it-IT"/>
        </w:rPr>
      </w:r>
    </w:p>
    <w:p>
      <w:pPr>
        <w:pStyle w:val="Normal"/>
        <w:tabs>
          <w:tab w:val="clear" w:pos="708"/>
          <w:tab w:val="left" w:pos="142" w:leader="none"/>
        </w:tabs>
        <w:spacing w:lineRule="auto" w:line="240" w:before="0" w:after="0"/>
        <w:ind w:left="142" w:hanging="0"/>
        <w:rPr>
          <w:rFonts w:eastAsia="Times New Roman" w:cs="Calibri"/>
          <w:lang w:eastAsia="it-IT"/>
        </w:rPr>
      </w:pPr>
      <w:r>
        <w:rPr>
          <w:rFonts w:eastAsia="Times New Roman" w:cs="Calibri"/>
          <w:lang w:eastAsia="it-IT"/>
        </w:rPr>
        <w:t> </w:t>
      </w:r>
    </w:p>
    <w:p>
      <w:pPr>
        <w:pStyle w:val="Normal"/>
        <w:shd w:val="clear" w:color="auto" w:fill="F2F2F2"/>
        <w:tabs>
          <w:tab w:val="clear" w:pos="708"/>
          <w:tab w:val="left" w:pos="142" w:leader="none"/>
        </w:tabs>
        <w:spacing w:lineRule="auto" w:line="240" w:before="0" w:after="0"/>
        <w:ind w:left="142" w:hanging="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V </w:t>
        <w:br/>
        <w:t>DATI PER IL MONITORAGGIO FISICO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3"/>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 xml:space="preserve">Categorie di operazione in coerenza con la normativa europea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5109"/>
        <w:gridCol w:w="4394"/>
      </w:tblGrid>
      <w:tr>
        <w:trPr>
          <w:trHeight w:val="570" w:hRule="atLeast"/>
        </w:trPr>
        <w:tc>
          <w:tcPr>
            <w:tcW w:w="5109"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eastAsia="Times New Roman" w:cs="Calibri"/>
                <w:lang w:eastAsia="it-IT"/>
              </w:rPr>
            </w:pPr>
            <w:r>
              <w:rPr>
                <w:rFonts w:eastAsia="Times New Roman" w:cs="Calibri"/>
                <w:lang w:eastAsia="it-IT"/>
              </w:rPr>
              <w:t>Dimensione </w:t>
            </w:r>
          </w:p>
        </w:tc>
        <w:tc>
          <w:tcPr>
            <w:tcW w:w="4394"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eastAsia="Times New Roman" w:cs="Calibri"/>
                <w:lang w:eastAsia="it-IT"/>
              </w:rPr>
            </w:pPr>
            <w:r>
              <w:rPr>
                <w:rFonts w:eastAsia="Times New Roman" w:cs="Calibri"/>
                <w:lang w:eastAsia="it-IT"/>
              </w:rPr>
              <w:t>Codice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Campo di operazione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Forme di finanziamento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Territorio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Meccanismi di erogazione territoriale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Obiettivo Specifico</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390" w:hRule="atLeast"/>
        </w:trPr>
        <w:tc>
          <w:tcPr>
            <w:tcW w:w="5109"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Ubicazione </w:t>
            </w:r>
          </w:p>
        </w:tc>
        <w:tc>
          <w:tcPr>
            <w:tcW w:w="439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4"/>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Indicatori fisici da PR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3205"/>
        <w:gridCol w:w="1377"/>
        <w:gridCol w:w="1883"/>
        <w:gridCol w:w="1447"/>
        <w:gridCol w:w="1592"/>
      </w:tblGrid>
      <w:tr>
        <w:trPr>
          <w:trHeight w:val="390" w:hRule="atLeast"/>
        </w:trPr>
        <w:tc>
          <w:tcPr>
            <w:tcW w:w="3205"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Descrizione indicatore</w:t>
            </w:r>
            <w:r>
              <w:rPr>
                <w:rFonts w:eastAsia="Times New Roman" w:cs="Calibri"/>
                <w:lang w:eastAsia="it-IT"/>
              </w:rPr>
              <w:t> </w:t>
            </w:r>
          </w:p>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Unità di misura</w:t>
            </w: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Target 2024</w:t>
            </w:r>
          </w:p>
        </w:tc>
        <w:tc>
          <w:tcPr>
            <w:tcW w:w="1447"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Target 2025</w:t>
            </w: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F2F2F2" w:val="clear"/>
            <w:vAlign w:val="cente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lang w:eastAsia="it-IT"/>
              </w:rPr>
              <w:t>Target 2026</w:t>
            </w:r>
          </w:p>
        </w:tc>
      </w:tr>
      <w:tr>
        <w:trPr>
          <w:trHeight w:val="585" w:hRule="atLeast"/>
        </w:trPr>
        <w:tc>
          <w:tcPr>
            <w:tcW w:w="320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4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585" w:hRule="atLeast"/>
        </w:trPr>
        <w:tc>
          <w:tcPr>
            <w:tcW w:w="320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4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r>
        <w:trPr>
          <w:trHeight w:val="585" w:hRule="atLeast"/>
        </w:trPr>
        <w:tc>
          <w:tcPr>
            <w:tcW w:w="320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37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883"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447"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c>
          <w:tcPr>
            <w:tcW w:w="1592"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jc w:val="both"/>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tabs>
          <w:tab w:val="clear" w:pos="708"/>
          <w:tab w:val="left" w:pos="142" w:leader="none"/>
        </w:tabs>
        <w:spacing w:lineRule="auto" w:line="240" w:before="0" w:after="0"/>
        <w:rPr>
          <w:rFonts w:eastAsia="Times New Roman" w:cs="Calibri"/>
          <w:lang w:eastAsia="it-IT"/>
        </w:rPr>
      </w:pPr>
      <w:r>
        <w:rPr>
          <w:rFonts w:eastAsia="Times New Roman" w:cs="Calibri"/>
          <w:lang w:eastAsia="it-IT"/>
        </w:rPr>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shd w:val="clear" w:color="auto" w:fill="F2F2F2"/>
        <w:tabs>
          <w:tab w:val="clear" w:pos="708"/>
          <w:tab w:val="left" w:pos="142" w:leader="none"/>
        </w:tabs>
        <w:spacing w:lineRule="auto" w:line="240" w:before="0" w:after="0"/>
        <w:ind w:left="142" w:hanging="0"/>
        <w:jc w:val="center"/>
        <w:rPr>
          <w:rFonts w:ascii="Segoe UI" w:hAnsi="Segoe UI" w:eastAsia="Times New Roman" w:cs="Segoe UI"/>
          <w:b/>
          <w:b/>
          <w:color w:val="1F4D78"/>
          <w:lang w:eastAsia="it-IT"/>
        </w:rPr>
      </w:pPr>
      <w:r>
        <w:rPr>
          <w:rFonts w:eastAsia="Times New Roman" w:cs="Calibri Light" w:ascii="Calibri Light" w:hAnsi="Calibri Light"/>
          <w:b/>
          <w:color w:val="1F4D78"/>
          <w:lang w:eastAsia="it-IT"/>
        </w:rPr>
        <w:t>SEZIONE VI </w:t>
        <w:br/>
        <w:t>STRUTTURA AMMINISTRATIVA E ORGANIZZATIVA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5"/>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Soggetti responsabili/dedicati all’attuazione dell’operazione </w:t>
      </w:r>
    </w:p>
    <w:tbl>
      <w:tblPr>
        <w:tblW w:w="9504" w:type="dxa"/>
        <w:jc w:val="left"/>
        <w:tblInd w:w="150" w:type="dxa"/>
        <w:tblCellMar>
          <w:top w:w="0" w:type="dxa"/>
          <w:left w:w="7" w:type="dxa"/>
          <w:bottom w:w="0" w:type="dxa"/>
          <w:right w:w="7" w:type="dxa"/>
        </w:tblCellMar>
        <w:tblLook w:firstRow="1" w:noVBand="1" w:lastRow="0" w:firstColumn="1" w:lastColumn="0" w:noHBand="0" w:val="04a0"/>
      </w:tblPr>
      <w:tblGrid>
        <w:gridCol w:w="2256"/>
        <w:gridCol w:w="2408"/>
        <w:gridCol w:w="2415"/>
        <w:gridCol w:w="2424"/>
      </w:tblGrid>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Nome e Cognome</w:t>
            </w:r>
            <w:r>
              <w:rPr>
                <w:rFonts w:eastAsia="Times New Roman" w:cs="Calibri"/>
                <w:color w:val="44546A"/>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Ruolo all’interno del beneficiario</w:t>
            </w:r>
            <w:r>
              <w:rPr>
                <w:rFonts w:eastAsia="Times New Roman" w:cs="Calibri"/>
                <w:color w:val="44546A"/>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Ruolo nell’attuazione dell’operazione</w:t>
            </w:r>
            <w:r>
              <w:rPr>
                <w:rFonts w:eastAsia="Times New Roman" w:cs="Calibri"/>
                <w:color w:val="44546A"/>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F2F2F2" w:val="clear"/>
          </w:tcPr>
          <w:p>
            <w:pPr>
              <w:pStyle w:val="Normal"/>
              <w:tabs>
                <w:tab w:val="clear" w:pos="708"/>
                <w:tab w:val="left" w:pos="142" w:leader="none"/>
              </w:tabs>
              <w:spacing w:lineRule="auto" w:line="240" w:before="0" w:after="0"/>
              <w:ind w:left="142" w:hanging="0"/>
              <w:jc w:val="center"/>
              <w:rPr>
                <w:rFonts w:ascii="Times New Roman" w:hAnsi="Times New Roman" w:eastAsia="Times New Roman"/>
                <w:lang w:eastAsia="it-IT"/>
              </w:rPr>
            </w:pPr>
            <w:r>
              <w:rPr>
                <w:rFonts w:eastAsia="Times New Roman" w:cs="Calibri"/>
                <w:b/>
                <w:bCs/>
                <w:color w:val="44546A"/>
                <w:lang w:eastAsia="it-IT"/>
              </w:rPr>
              <w:t>Esperienze/expertise precedenti</w:t>
            </w:r>
            <w:r>
              <w:rPr>
                <w:rFonts w:eastAsia="Times New Roman" w:cs="Calibri"/>
                <w:color w:val="44546A"/>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color w:val="44546A"/>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r>
        <w:trPr>
          <w:trHeight w:val="300" w:hRule="atLeast"/>
        </w:trPr>
        <w:tc>
          <w:tcPr>
            <w:tcW w:w="2256"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08"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15"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c>
          <w:tcPr>
            <w:tcW w:w="2424" w:type="dxa"/>
            <w:tcBorders>
              <w:top w:val="single" w:sz="6" w:space="0" w:color="000000"/>
              <w:left w:val="single" w:sz="6" w:space="0" w:color="000000"/>
              <w:bottom w:val="single" w:sz="6" w:space="0" w:color="000000"/>
              <w:right w:val="single" w:sz="6" w:space="0" w:color="000000"/>
            </w:tcBorders>
            <w:shd w:color="auto" w:fill="auto" w:val="clear"/>
          </w:tcPr>
          <w:p>
            <w:pPr>
              <w:pStyle w:val="Normal"/>
              <w:tabs>
                <w:tab w:val="clear" w:pos="708"/>
                <w:tab w:val="left" w:pos="142" w:leader="none"/>
              </w:tabs>
              <w:spacing w:lineRule="auto" w:line="240" w:before="0" w:after="0"/>
              <w:ind w:left="142" w:hanging="0"/>
              <w:rPr>
                <w:rFonts w:ascii="Times New Roman" w:hAnsi="Times New Roman" w:eastAsia="Times New Roman"/>
                <w:lang w:eastAsia="it-IT"/>
              </w:rPr>
            </w:pPr>
            <w:r>
              <w:rPr>
                <w:rFonts w:eastAsia="Times New Roman" w:cs="Calibri"/>
                <w:lang w:eastAsia="it-IT"/>
              </w:rPr>
              <w:t> </w:t>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numPr>
          <w:ilvl w:val="0"/>
          <w:numId w:val="6"/>
        </w:numPr>
        <w:tabs>
          <w:tab w:val="clear" w:pos="708"/>
          <w:tab w:val="left" w:pos="142" w:leader="none"/>
        </w:tabs>
        <w:spacing w:lineRule="auto" w:line="240" w:before="0" w:after="0"/>
        <w:ind w:left="142" w:hanging="0"/>
        <w:rPr>
          <w:rFonts w:ascii="Calibri Light" w:hAnsi="Calibri Light" w:eastAsia="Times New Roman" w:cs="Calibri Light"/>
          <w:i/>
          <w:i/>
          <w:iCs/>
          <w:color w:val="1F4D78"/>
          <w:lang w:eastAsia="it-IT"/>
        </w:rPr>
      </w:pPr>
      <w:r>
        <w:rPr>
          <w:rFonts w:eastAsia="Times New Roman" w:cs="Calibri Light" w:ascii="Calibri Light" w:hAnsi="Calibri Light"/>
          <w:i/>
          <w:iCs/>
          <w:color w:val="1F4D78"/>
          <w:lang w:eastAsia="it-IT"/>
        </w:rPr>
        <w:t>Descrizione dell’organizzazione e delle procedure adottate dal beneficiario per l’attuazione dell’operazione </w:t>
      </w:r>
      <w:r>
        <w:rPr>
          <w:rFonts w:eastAsia="Times New Roman" w:cs="Calibri"/>
          <w:lang w:eastAsia="it-IT"/>
        </w:rPr>
        <w:t> </w:t>
      </w:r>
    </w:p>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tbl>
      <w:tblPr>
        <w:tblW w:w="9712" w:type="dxa"/>
        <w:jc w:val="left"/>
        <w:tblInd w:w="142" w:type="dxa"/>
        <w:tblCellMar>
          <w:top w:w="0" w:type="dxa"/>
          <w:left w:w="108" w:type="dxa"/>
          <w:bottom w:w="0" w:type="dxa"/>
          <w:right w:w="108" w:type="dxa"/>
        </w:tblCellMar>
        <w:tblLook w:firstRow="1" w:noVBand="1" w:lastRow="0" w:firstColumn="1" w:lastColumn="0" w:noHBand="0" w:val="04a0"/>
      </w:tblPr>
      <w:tblGrid>
        <w:gridCol w:w="9712"/>
      </w:tblGrid>
      <w:tr>
        <w:trPr>
          <w:trHeight w:val="3309" w:hRule="atLeast"/>
        </w:trPr>
        <w:tc>
          <w:tcPr>
            <w:tcW w:w="9712" w:type="dxa"/>
            <w:tcBorders>
              <w:top w:val="single" w:sz="4" w:space="0" w:color="000000"/>
              <w:left w:val="single" w:sz="4" w:space="0" w:color="000000"/>
              <w:bottom w:val="single" w:sz="4" w:space="0" w:color="000000"/>
              <w:right w:val="single" w:sz="4" w:space="0" w:color="000000"/>
            </w:tcBorders>
          </w:tcPr>
          <w:p>
            <w:pPr>
              <w:pStyle w:val="Normal"/>
              <w:tabs>
                <w:tab w:val="clear" w:pos="708"/>
                <w:tab w:val="left" w:pos="142" w:leader="none"/>
              </w:tabs>
              <w:spacing w:lineRule="auto" w:line="240" w:before="0" w:after="0"/>
              <w:rPr>
                <w:rFonts w:ascii="Segoe UI" w:hAnsi="Segoe UI" w:eastAsia="Times New Roman" w:cs="Segoe UI"/>
                <w:lang w:eastAsia="it-IT"/>
              </w:rPr>
            </w:pPr>
            <w:r>
              <w:rPr>
                <w:rFonts w:eastAsia="Times New Roman" w:cs="Segoe UI" w:ascii="Segoe UI" w:hAnsi="Segoe UI"/>
                <w:lang w:eastAsia="it-IT"/>
              </w:rPr>
            </w:r>
          </w:p>
        </w:tc>
      </w:tr>
    </w:tbl>
    <w:p>
      <w:pPr>
        <w:pStyle w:val="Normal"/>
        <w:tabs>
          <w:tab w:val="clear" w:pos="708"/>
          <w:tab w:val="left" w:pos="142" w:leader="none"/>
        </w:tabs>
        <w:spacing w:lineRule="auto" w:line="240" w:before="0" w:after="0"/>
        <w:ind w:left="142" w:hanging="0"/>
        <w:rPr>
          <w:rFonts w:ascii="Segoe UI" w:hAnsi="Segoe UI" w:eastAsia="Times New Roman" w:cs="Segoe UI"/>
          <w:lang w:eastAsia="it-IT"/>
        </w:rPr>
      </w:pPr>
      <w:r>
        <w:rPr>
          <w:rFonts w:eastAsia="Times New Roman" w:cs="Calibri"/>
          <w:lang w:eastAsia="it-IT"/>
        </w:rPr>
        <w:t> </w:t>
      </w:r>
    </w:p>
    <w:p>
      <w:pPr>
        <w:pStyle w:val="Normal"/>
        <w:widowControl/>
        <w:bidi w:val="0"/>
        <w:spacing w:lineRule="auto" w:line="259" w:beforeAutospacing="0" w:before="0" w:afterAutospacing="0" w:after="160"/>
        <w:jc w:val="left"/>
        <w:rPr/>
      </w:pPr>
      <w:r>
        <w:rPr/>
      </w:r>
    </w:p>
    <w:sectPr>
      <w:headerReference w:type="default" r:id="rId2"/>
      <w:type w:val="nextPage"/>
      <w:pgSz w:orient="landscape" w:w="11906" w:h="16838"/>
      <w:pgMar w:left="1134" w:right="1134" w:header="708" w:top="1417" w:footer="0" w:bottom="1134"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libri Light">
    <w:charset w:val="00"/>
    <w:family w:val="roman"/>
    <w:pitch w:val="variable"/>
  </w:font>
  <w:font w:name="Arial">
    <w:charset w:val="00"/>
    <w:family w:val="roman"/>
    <w:pitch w:val="variable"/>
  </w:font>
  <w:font w:name="Cambria">
    <w:charset w:val="00"/>
    <w:family w:val="roman"/>
    <w:pitch w:val="variable"/>
  </w:font>
  <w:font w:name="Segoe UI">
    <w:charset w:val="00"/>
    <w:family w:val="roman"/>
    <w:pitch w:val="variable"/>
  </w:font>
  <w:font w:name="Liberation Sans">
    <w:altName w:val="Arial"/>
    <w:charset w:val="00"/>
    <w:family w:val="swiss"/>
    <w:pitch w:val="variable"/>
  </w:font>
  <w:font w:name="Cambria">
    <w:charset w:val="01"/>
    <w:family w:val="roman"/>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0" distR="0" simplePos="0" locked="0" layoutInCell="1" allowOverlap="1" relativeHeight="17">
          <wp:simplePos x="0" y="0"/>
          <wp:positionH relativeFrom="page">
            <wp:posOffset>771525</wp:posOffset>
          </wp:positionH>
          <wp:positionV relativeFrom="page">
            <wp:posOffset>466725</wp:posOffset>
          </wp:positionV>
          <wp:extent cx="6133465" cy="447675"/>
          <wp:effectExtent l="0" t="0" r="0" b="0"/>
          <wp:wrapNone/>
          <wp:docPr id="1" name="image1.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
                  <pic:cNvPicPr>
                    <a:picLocks noChangeAspect="1" noChangeArrowheads="1"/>
                  </pic:cNvPicPr>
                </pic:nvPicPr>
                <pic:blipFill>
                  <a:blip r:embed="rId1"/>
                  <a:stretch>
                    <a:fillRect/>
                  </a:stretch>
                </pic:blipFill>
                <pic:spPr bwMode="auto">
                  <a:xfrm>
                    <a:off x="0" y="0"/>
                    <a:ext cx="6133465" cy="44767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lvl w:ilvl="0">
      <w:start w:val="1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lvl w:ilvl="0">
      <w:start w:val="1"/>
      <w:numFmt w:val="lowerLetter"/>
      <w:lvlText w:val="%1)"/>
      <w:lvlJc w:val="left"/>
      <w:pPr>
        <w:ind w:left="72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0">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lvl w:ilvl="0">
      <w:start w:val="1"/>
      <w:numFmt w:val="low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lvl w:ilvl="0">
      <w:start w:val="1"/>
      <w:numFmt w:val="decimal"/>
      <w:lvlText w:val="%1."/>
      <w:lvlJc w:val="left"/>
      <w:pPr>
        <w:tabs>
          <w:tab w:val="num" w:pos="720"/>
        </w:tabs>
        <w:ind w:left="720" w:hanging="360"/>
      </w:pPr>
      <w:rPr>
        <w:sz w:val="22"/>
        <w:szCs w:val="22"/>
        <w:rFonts w:cs="Aria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4">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5">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lvl w:ilvl="0">
      <w:start w:val="14"/>
      <w:numFmt w:val="bullet"/>
      <w:lvlText w:val="-"/>
      <w:lvlJc w:val="left"/>
      <w:pPr>
        <w:ind w:left="720" w:hanging="360"/>
      </w:pPr>
      <w:rPr>
        <w:rFonts w:ascii="Cambria" w:hAnsi="Cambria" w:cs="Cambri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7">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lvl w:ilvl="0">
      <w:start w:val="1"/>
      <w:numFmt w:val="bullet"/>
      <w:lvlText w:val=""/>
      <w:lvlJc w:val="left"/>
      <w:pPr>
        <w:ind w:left="720" w:hanging="360"/>
      </w:pPr>
      <w:rPr>
        <w:rFonts w:ascii="Symbol" w:hAnsi="Symbol" w:cs="Symbol" w:hint="default"/>
        <w:vertAlign w:val="baseline"/>
        <w:position w:val="0"/>
        <w:sz w:val="22"/>
        <w:sz w:val="22"/>
      </w:rPr>
    </w:lvl>
    <w:lvl w:ilvl="1">
      <w:start w:val="1"/>
      <w:numFmt w:val="lowerLetter"/>
      <w:lvlText w:val="%2."/>
      <w:lvlJc w:val="left"/>
      <w:pPr>
        <w:ind w:left="1440" w:hanging="360"/>
      </w:pPr>
      <w:rPr>
        <w:vertAlign w:val="baseline"/>
        <w:position w:val="0"/>
        <w:sz w:val="22"/>
      </w:rPr>
    </w:lvl>
    <w:lvl w:ilvl="2">
      <w:start w:val="1"/>
      <w:numFmt w:val="lowerRoman"/>
      <w:lvlText w:val="%3."/>
      <w:lvlJc w:val="right"/>
      <w:pPr>
        <w:ind w:left="2160" w:hanging="180"/>
      </w:pPr>
      <w:rPr>
        <w:vertAlign w:val="baseline"/>
        <w:position w:val="0"/>
        <w:sz w:val="22"/>
      </w:rPr>
    </w:lvl>
    <w:lvl w:ilvl="3">
      <w:start w:val="1"/>
      <w:numFmt w:val="decimal"/>
      <w:lvlText w:val="%4."/>
      <w:lvlJc w:val="left"/>
      <w:pPr>
        <w:ind w:left="2880" w:hanging="360"/>
      </w:pPr>
      <w:rPr>
        <w:vertAlign w:val="baseline"/>
        <w:position w:val="0"/>
        <w:sz w:val="22"/>
      </w:rPr>
    </w:lvl>
    <w:lvl w:ilvl="4">
      <w:start w:val="1"/>
      <w:numFmt w:val="lowerLetter"/>
      <w:lvlText w:val="%5."/>
      <w:lvlJc w:val="left"/>
      <w:pPr>
        <w:ind w:left="3600" w:hanging="360"/>
      </w:pPr>
      <w:rPr>
        <w:vertAlign w:val="baseline"/>
        <w:position w:val="0"/>
        <w:sz w:val="22"/>
      </w:rPr>
    </w:lvl>
    <w:lvl w:ilvl="5">
      <w:start w:val="1"/>
      <w:numFmt w:val="lowerRoman"/>
      <w:lvlText w:val="%6."/>
      <w:lvlJc w:val="right"/>
      <w:pPr>
        <w:ind w:left="4320" w:hanging="180"/>
      </w:pPr>
      <w:rPr>
        <w:vertAlign w:val="baseline"/>
        <w:position w:val="0"/>
        <w:sz w:val="22"/>
      </w:rPr>
    </w:lvl>
    <w:lvl w:ilvl="6">
      <w:start w:val="1"/>
      <w:numFmt w:val="decimal"/>
      <w:lvlText w:val="%7."/>
      <w:lvlJc w:val="left"/>
      <w:pPr>
        <w:ind w:left="5040" w:hanging="360"/>
      </w:pPr>
      <w:rPr>
        <w:vertAlign w:val="baseline"/>
        <w:position w:val="0"/>
        <w:sz w:val="22"/>
      </w:rPr>
    </w:lvl>
    <w:lvl w:ilvl="7">
      <w:start w:val="1"/>
      <w:numFmt w:val="lowerLetter"/>
      <w:lvlText w:val="%8."/>
      <w:lvlJc w:val="left"/>
      <w:pPr>
        <w:ind w:left="5760" w:hanging="360"/>
      </w:pPr>
      <w:rPr>
        <w:vertAlign w:val="baseline"/>
        <w:position w:val="0"/>
        <w:sz w:val="22"/>
      </w:rPr>
    </w:lvl>
    <w:lvl w:ilvl="8">
      <w:start w:val="1"/>
      <w:numFmt w:val="lowerRoman"/>
      <w:lvlText w:val="%9."/>
      <w:lvlJc w:val="right"/>
      <w:pPr>
        <w:ind w:left="6480" w:hanging="180"/>
      </w:pPr>
      <w:rPr>
        <w:vertAlign w:val="baseline"/>
        <w:position w:val="0"/>
        <w:sz w:val="22"/>
      </w:rPr>
    </w:lvl>
  </w:abstractNum>
  <w:abstractNum w:abstractNumId="1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3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4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4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1">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3">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283"/>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59" w:beforeAutospacing="0" w:before="0" w:afterAutospacing="0" w:after="160"/>
      <w:jc w:val="left"/>
    </w:pPr>
    <w:rPr>
      <w:rFonts w:ascii="Calibri" w:hAnsi="Calibri" w:eastAsia="Calibri" w:cs="Times New Roman" w:asciiTheme="minorHAnsi" w:eastAsiaTheme="minorHAnsi" w:hAnsiTheme="minorHAnsi"/>
      <w:color w:val="auto"/>
      <w:kern w:val="0"/>
      <w:sz w:val="22"/>
      <w:szCs w:val="22"/>
      <w:lang w:val="it-IT" w:eastAsia="en-US" w:bidi="ar-SA"/>
    </w:rPr>
  </w:style>
  <w:style w:type="paragraph" w:styleId="Titolo1">
    <w:name w:val="Heading 1"/>
    <w:basedOn w:val="Normal"/>
    <w:link w:val="1048"/>
    <w:qFormat/>
    <w:pPr>
      <w:keepNext w:val="true"/>
      <w:keepLines/>
      <w:spacing w:lineRule="auto" w:line="240" w:before="240" w:after="0"/>
      <w:outlineLvl w:val="0"/>
    </w:pPr>
    <w:rPr>
      <w:rFonts w:ascii="Calibri Light" w:hAnsi="Calibri Light" w:eastAsia="Times New Roman"/>
      <w:color w:val="2E74B5"/>
      <w:sz w:val="32"/>
      <w:szCs w:val="32"/>
    </w:rPr>
  </w:style>
  <w:style w:type="paragraph" w:styleId="Titolo2">
    <w:name w:val="Heading 2"/>
    <w:basedOn w:val="Normal"/>
    <w:link w:val="1049"/>
    <w:uiPriority w:val="99"/>
    <w:unhideWhenUsed/>
    <w:qFormat/>
    <w:pPr>
      <w:keepNext w:val="true"/>
      <w:keepLines/>
      <w:spacing w:before="40" w:after="0"/>
      <w:outlineLvl w:val="1"/>
    </w:pPr>
    <w:rPr>
      <w:rFonts w:ascii="Calibri Light" w:hAnsi="Calibri Light" w:eastAsia="Times New Roman"/>
      <w:color w:val="2E74B5"/>
      <w:sz w:val="26"/>
      <w:szCs w:val="26"/>
    </w:rPr>
  </w:style>
  <w:style w:type="paragraph" w:styleId="Titolo3">
    <w:name w:val="Heading 3"/>
    <w:basedOn w:val="Normal"/>
    <w:link w:val="1050"/>
    <w:uiPriority w:val="99"/>
    <w:unhideWhenUsed/>
    <w:qFormat/>
    <w:pPr>
      <w:keepNext w:val="true"/>
      <w:keepLines/>
      <w:spacing w:before="40" w:after="0"/>
      <w:outlineLvl w:val="2"/>
    </w:pPr>
    <w:rPr>
      <w:rFonts w:ascii="Calibri Light" w:hAnsi="Calibri Light" w:eastAsia="Times New Roman"/>
      <w:color w:val="1F4D78"/>
      <w:sz w:val="24"/>
      <w:szCs w:val="24"/>
    </w:rPr>
  </w:style>
  <w:style w:type="paragraph" w:styleId="Titolo4">
    <w:name w:val="Heading 4"/>
    <w:basedOn w:val="Normal"/>
    <w:link w:val="1051"/>
    <w:uiPriority w:val="9"/>
    <w:unhideWhenUsed/>
    <w:qFormat/>
    <w:pPr>
      <w:keepNext w:val="true"/>
      <w:keepLines/>
      <w:spacing w:before="40" w:after="0"/>
      <w:outlineLvl w:val="3"/>
    </w:pPr>
    <w:rPr>
      <w:rFonts w:ascii="Calibri Light" w:hAnsi="Calibri Light" w:eastAsia="Times New Roman"/>
      <w:i/>
      <w:iCs/>
      <w:color w:val="2E74B5"/>
    </w:rPr>
  </w:style>
  <w:style w:type="paragraph" w:styleId="Titolo5">
    <w:name w:val="Heading 5"/>
    <w:basedOn w:val="Normal"/>
    <w:link w:val="1052"/>
    <w:uiPriority w:val="9"/>
    <w:unhideWhenUsed/>
    <w:qFormat/>
    <w:pPr>
      <w:keepNext w:val="true"/>
      <w:keepLines/>
      <w:spacing w:before="40" w:after="0"/>
      <w:outlineLvl w:val="4"/>
    </w:pPr>
    <w:rPr>
      <w:rFonts w:ascii="Calibri Light" w:hAnsi="Calibri Light" w:eastAsia="Times New Roman"/>
      <w:color w:val="2E74B5"/>
    </w:rPr>
  </w:style>
  <w:style w:type="paragraph" w:styleId="Titolo6">
    <w:name w:val="Heading 6"/>
    <w:basedOn w:val="Normal"/>
    <w:link w:val="1053"/>
    <w:uiPriority w:val="9"/>
    <w:unhideWhenUsed/>
    <w:qFormat/>
    <w:pPr>
      <w:keepNext w:val="true"/>
      <w:keepLines/>
      <w:spacing w:before="40" w:after="0"/>
      <w:outlineLvl w:val="5"/>
    </w:pPr>
    <w:rPr>
      <w:rFonts w:ascii="Calibri Light" w:hAnsi="Calibri Light" w:eastAsia="Times New Roman"/>
      <w:color w:val="1F4D78"/>
    </w:rPr>
  </w:style>
  <w:style w:type="paragraph" w:styleId="Titolo7">
    <w:name w:val="Heading 7"/>
    <w:basedOn w:val="Normal"/>
    <w:link w:val="1054"/>
    <w:uiPriority w:val="9"/>
    <w:unhideWhenUsed/>
    <w:qFormat/>
    <w:pPr>
      <w:keepNext w:val="true"/>
      <w:keepLines/>
      <w:spacing w:before="40" w:after="0"/>
      <w:outlineLvl w:val="6"/>
    </w:pPr>
    <w:rPr>
      <w:rFonts w:ascii="Calibri Light" w:hAnsi="Calibri Light" w:eastAsia="Times New Roman"/>
      <w:i/>
      <w:iCs/>
      <w:color w:val="1F4D78"/>
    </w:rPr>
  </w:style>
  <w:style w:type="paragraph" w:styleId="Titolo8">
    <w:name w:val="Heading 8"/>
    <w:basedOn w:val="Normal"/>
    <w:link w:val="891"/>
    <w:uiPriority w:val="9"/>
    <w:unhideWhenUsed/>
    <w:qFormat/>
    <w:pPr>
      <w:keepNext w:val="true"/>
      <w:keepLines/>
      <w:spacing w:before="320" w:after="200"/>
      <w:outlineLvl w:val="7"/>
    </w:pPr>
    <w:rPr>
      <w:rFonts w:ascii="Arial" w:hAnsi="Arial" w:eastAsia="Arial" w:cs="Arial"/>
      <w:i/>
      <w:iCs/>
      <w:sz w:val="22"/>
      <w:szCs w:val="22"/>
    </w:rPr>
  </w:style>
  <w:style w:type="paragraph" w:styleId="Titolo9">
    <w:name w:val="Heading 9"/>
    <w:basedOn w:val="Normal"/>
    <w:link w:val="1055"/>
    <w:uiPriority w:val="9"/>
    <w:semiHidden/>
    <w:unhideWhenUsed/>
    <w:qFormat/>
    <w:pPr>
      <w:spacing w:before="240" w:after="60"/>
      <w:outlineLvl w:val="8"/>
    </w:pPr>
    <w:rPr>
      <w:rFonts w:ascii="Cambria" w:hAnsi="Cambria" w:eastAsia="Times New Roman"/>
    </w:rPr>
  </w:style>
  <w:style w:type="character" w:styleId="Heading1Char">
    <w:name w:val="Heading 1 Char"/>
    <w:basedOn w:val="DefaultParagraphFont"/>
    <w:link w:val="1037"/>
    <w:uiPriority w:val="9"/>
    <w:qFormat/>
    <w:rPr>
      <w:rFonts w:ascii="Arial" w:hAnsi="Arial" w:eastAsia="Arial" w:cs="Arial"/>
      <w:sz w:val="40"/>
      <w:szCs w:val="40"/>
    </w:rPr>
  </w:style>
  <w:style w:type="character" w:styleId="Heading2Char">
    <w:name w:val="Heading 2 Char"/>
    <w:basedOn w:val="DefaultParagraphFont"/>
    <w:link w:val="1038"/>
    <w:uiPriority w:val="9"/>
    <w:qFormat/>
    <w:rPr>
      <w:rFonts w:ascii="Arial" w:hAnsi="Arial" w:eastAsia="Arial" w:cs="Arial"/>
      <w:sz w:val="34"/>
    </w:rPr>
  </w:style>
  <w:style w:type="character" w:styleId="Heading3Char">
    <w:name w:val="Heading 3 Char"/>
    <w:basedOn w:val="DefaultParagraphFont"/>
    <w:link w:val="1039"/>
    <w:uiPriority w:val="9"/>
    <w:qFormat/>
    <w:rPr>
      <w:rFonts w:ascii="Arial" w:hAnsi="Arial" w:eastAsia="Arial" w:cs="Arial"/>
      <w:sz w:val="30"/>
      <w:szCs w:val="30"/>
    </w:rPr>
  </w:style>
  <w:style w:type="character" w:styleId="Heading4Char">
    <w:name w:val="Heading 4 Char"/>
    <w:basedOn w:val="DefaultParagraphFont"/>
    <w:link w:val="1040"/>
    <w:uiPriority w:val="9"/>
    <w:qFormat/>
    <w:rPr>
      <w:rFonts w:ascii="Arial" w:hAnsi="Arial" w:eastAsia="Arial" w:cs="Arial"/>
      <w:b/>
      <w:bCs/>
      <w:sz w:val="26"/>
      <w:szCs w:val="26"/>
    </w:rPr>
  </w:style>
  <w:style w:type="character" w:styleId="Heading5Char">
    <w:name w:val="Heading 5 Char"/>
    <w:basedOn w:val="DefaultParagraphFont"/>
    <w:link w:val="1041"/>
    <w:uiPriority w:val="9"/>
    <w:qFormat/>
    <w:rPr>
      <w:rFonts w:ascii="Arial" w:hAnsi="Arial" w:eastAsia="Arial" w:cs="Arial"/>
      <w:b/>
      <w:bCs/>
      <w:sz w:val="24"/>
      <w:szCs w:val="24"/>
    </w:rPr>
  </w:style>
  <w:style w:type="character" w:styleId="Heading6Char">
    <w:name w:val="Heading 6 Char"/>
    <w:basedOn w:val="DefaultParagraphFont"/>
    <w:link w:val="1042"/>
    <w:uiPriority w:val="9"/>
    <w:qFormat/>
    <w:rPr>
      <w:rFonts w:ascii="Arial" w:hAnsi="Arial" w:eastAsia="Arial" w:cs="Arial"/>
      <w:b/>
      <w:bCs/>
      <w:sz w:val="22"/>
      <w:szCs w:val="22"/>
    </w:rPr>
  </w:style>
  <w:style w:type="character" w:styleId="Heading7Char">
    <w:name w:val="Heading 7 Char"/>
    <w:basedOn w:val="DefaultParagraphFont"/>
    <w:link w:val="1043"/>
    <w:uiPriority w:val="9"/>
    <w:qFormat/>
    <w:rPr>
      <w:rFonts w:ascii="Arial" w:hAnsi="Arial" w:eastAsia="Arial" w:cs="Arial"/>
      <w:b/>
      <w:bCs/>
      <w:i/>
      <w:iCs/>
      <w:sz w:val="22"/>
      <w:szCs w:val="22"/>
    </w:rPr>
  </w:style>
  <w:style w:type="character" w:styleId="Heading8Char">
    <w:name w:val="Heading 8 Char"/>
    <w:basedOn w:val="DefaultParagraphFont"/>
    <w:link w:val="890"/>
    <w:uiPriority w:val="9"/>
    <w:qFormat/>
    <w:rPr>
      <w:rFonts w:ascii="Arial" w:hAnsi="Arial" w:eastAsia="Arial" w:cs="Arial"/>
      <w:i/>
      <w:iCs/>
      <w:sz w:val="22"/>
      <w:szCs w:val="22"/>
    </w:rPr>
  </w:style>
  <w:style w:type="character" w:styleId="Heading9Char">
    <w:name w:val="Heading 9 Char"/>
    <w:basedOn w:val="DefaultParagraphFont"/>
    <w:link w:val="1044"/>
    <w:uiPriority w:val="9"/>
    <w:qFormat/>
    <w:rPr>
      <w:rFonts w:ascii="Arial" w:hAnsi="Arial" w:eastAsia="Arial" w:cs="Arial"/>
      <w:i/>
      <w:iCs/>
      <w:sz w:val="21"/>
      <w:szCs w:val="21"/>
    </w:rPr>
  </w:style>
  <w:style w:type="character" w:styleId="TitleChar">
    <w:name w:val="Title Char"/>
    <w:basedOn w:val="DefaultParagraphFont"/>
    <w:link w:val="1124"/>
    <w:uiPriority w:val="10"/>
    <w:qFormat/>
    <w:rPr>
      <w:sz w:val="48"/>
      <w:szCs w:val="48"/>
    </w:rPr>
  </w:style>
  <w:style w:type="character" w:styleId="SubtitleChar">
    <w:name w:val="Subtitle Char"/>
    <w:basedOn w:val="DefaultParagraphFont"/>
    <w:link w:val="895"/>
    <w:uiPriority w:val="11"/>
    <w:qFormat/>
    <w:rPr>
      <w:sz w:val="24"/>
      <w:szCs w:val="24"/>
    </w:rPr>
  </w:style>
  <w:style w:type="character" w:styleId="QuoteChar">
    <w:name w:val="Quote Char"/>
    <w:link w:val="897"/>
    <w:uiPriority w:val="29"/>
    <w:qFormat/>
    <w:rPr>
      <w:i/>
    </w:rPr>
  </w:style>
  <w:style w:type="character" w:styleId="IntenseQuoteChar">
    <w:name w:val="Intense Quote Char"/>
    <w:link w:val="899"/>
    <w:uiPriority w:val="30"/>
    <w:qFormat/>
    <w:rPr>
      <w:i/>
    </w:rPr>
  </w:style>
  <w:style w:type="character" w:styleId="HeaderChar">
    <w:name w:val="Header Char"/>
    <w:basedOn w:val="DefaultParagraphFont"/>
    <w:link w:val="1057"/>
    <w:uiPriority w:val="99"/>
    <w:qFormat/>
    <w:rPr/>
  </w:style>
  <w:style w:type="character" w:styleId="FooterChar">
    <w:name w:val="Footer Char"/>
    <w:basedOn w:val="DefaultParagraphFont"/>
    <w:link w:val="1059"/>
    <w:uiPriority w:val="99"/>
    <w:qFormat/>
    <w:rPr/>
  </w:style>
  <w:style w:type="character" w:styleId="CaptionChar">
    <w:name w:val="Caption Char"/>
    <w:link w:val="1059"/>
    <w:uiPriority w:val="99"/>
    <w:qFormat/>
    <w:rPr/>
  </w:style>
  <w:style w:type="character" w:styleId="FootnoteTextChar">
    <w:name w:val="Footnote Text Char"/>
    <w:link w:val="1062"/>
    <w:uiPriority w:val="99"/>
    <w:qFormat/>
    <w:rPr>
      <w:sz w:val="18"/>
    </w:rPr>
  </w:style>
  <w:style w:type="character" w:styleId="EndnoteTextChar">
    <w:name w:val="Endnote Text Char"/>
    <w:link w:val="1031"/>
    <w:uiPriority w:val="99"/>
    <w:qFormat/>
    <w:rPr>
      <w:sz w:val="20"/>
    </w:rPr>
  </w:style>
  <w:style w:type="character" w:styleId="Richiamoallanotadichiusura">
    <w:name w:val="Richiamo alla nota di chiusura"/>
    <w:rPr>
      <w:vertAlign w:val="superscript"/>
    </w:rPr>
  </w:style>
  <w:style w:type="character" w:styleId="EndnoteCharacters">
    <w:name w:val="Endnote Characters"/>
    <w:uiPriority w:val="99"/>
    <w:semiHidden/>
    <w:unhideWhenUsed/>
    <w:qFormat/>
    <w:rPr>
      <w:vertAlign w:val="superscript"/>
    </w:rPr>
  </w:style>
  <w:style w:type="character" w:styleId="DefaultParagraphFont" w:default="1">
    <w:name w:val="Default Paragraph Font"/>
    <w:uiPriority w:val="1"/>
    <w:semiHidden/>
    <w:unhideWhenUsed/>
    <w:qFormat/>
    <w:rPr/>
  </w:style>
  <w:style w:type="character" w:styleId="Titolo1Carattere" w:customStyle="1">
    <w:name w:val="Titolo 1 Carattere"/>
    <w:basedOn w:val="DefaultParagraphFont"/>
    <w:link w:val="1037"/>
    <w:qFormat/>
    <w:rPr>
      <w:rFonts w:ascii="Calibri Light" w:hAnsi="Calibri Light" w:eastAsia="Times New Roman" w:cs="Times New Roman"/>
      <w:color w:val="2E74B5"/>
      <w:sz w:val="32"/>
      <w:szCs w:val="32"/>
    </w:rPr>
  </w:style>
  <w:style w:type="character" w:styleId="Titolo2Carattere" w:customStyle="1">
    <w:name w:val="Titolo 2 Carattere"/>
    <w:basedOn w:val="DefaultParagraphFont"/>
    <w:link w:val="1038"/>
    <w:uiPriority w:val="99"/>
    <w:qFormat/>
    <w:rPr>
      <w:rFonts w:ascii="Calibri Light" w:hAnsi="Calibri Light" w:eastAsia="Times New Roman" w:cs="Times New Roman"/>
      <w:color w:val="2E74B5"/>
      <w:sz w:val="26"/>
      <w:szCs w:val="26"/>
    </w:rPr>
  </w:style>
  <w:style w:type="character" w:styleId="Titolo3Carattere" w:customStyle="1">
    <w:name w:val="Titolo 3 Carattere"/>
    <w:basedOn w:val="DefaultParagraphFont"/>
    <w:link w:val="1039"/>
    <w:uiPriority w:val="99"/>
    <w:qFormat/>
    <w:rPr>
      <w:rFonts w:ascii="Calibri Light" w:hAnsi="Calibri Light" w:eastAsia="Times New Roman" w:cs="Times New Roman"/>
      <w:color w:val="1F4D78"/>
      <w:sz w:val="24"/>
      <w:szCs w:val="24"/>
    </w:rPr>
  </w:style>
  <w:style w:type="character" w:styleId="Titolo4Carattere" w:customStyle="1">
    <w:name w:val="Titolo 4 Carattere"/>
    <w:basedOn w:val="DefaultParagraphFont"/>
    <w:link w:val="1040"/>
    <w:uiPriority w:val="9"/>
    <w:qFormat/>
    <w:rPr>
      <w:rFonts w:ascii="Calibri Light" w:hAnsi="Calibri Light" w:eastAsia="Times New Roman" w:cs="Times New Roman"/>
      <w:i/>
      <w:iCs/>
      <w:color w:val="2E74B5"/>
    </w:rPr>
  </w:style>
  <w:style w:type="character" w:styleId="Titolo5Carattere" w:customStyle="1">
    <w:name w:val="Titolo 5 Carattere"/>
    <w:basedOn w:val="DefaultParagraphFont"/>
    <w:link w:val="1041"/>
    <w:uiPriority w:val="9"/>
    <w:qFormat/>
    <w:rPr>
      <w:rFonts w:ascii="Calibri Light" w:hAnsi="Calibri Light" w:eastAsia="Times New Roman" w:cs="Times New Roman"/>
      <w:color w:val="2E74B5"/>
    </w:rPr>
  </w:style>
  <w:style w:type="character" w:styleId="Titolo6Carattere" w:customStyle="1">
    <w:name w:val="Titolo 6 Carattere"/>
    <w:basedOn w:val="DefaultParagraphFont"/>
    <w:link w:val="1042"/>
    <w:uiPriority w:val="9"/>
    <w:qFormat/>
    <w:rPr>
      <w:rFonts w:ascii="Calibri Light" w:hAnsi="Calibri Light" w:eastAsia="Times New Roman" w:cs="Times New Roman"/>
      <w:color w:val="1F4D78"/>
    </w:rPr>
  </w:style>
  <w:style w:type="character" w:styleId="Titolo7Carattere" w:customStyle="1">
    <w:name w:val="Titolo 7 Carattere"/>
    <w:basedOn w:val="DefaultParagraphFont"/>
    <w:link w:val="1043"/>
    <w:uiPriority w:val="9"/>
    <w:qFormat/>
    <w:rPr>
      <w:rFonts w:ascii="Calibri Light" w:hAnsi="Calibri Light" w:eastAsia="Times New Roman" w:cs="Times New Roman"/>
      <w:i/>
      <w:iCs/>
      <w:color w:val="1F4D78"/>
    </w:rPr>
  </w:style>
  <w:style w:type="character" w:styleId="Titolo9Carattere" w:customStyle="1">
    <w:name w:val="Titolo 9 Carattere"/>
    <w:basedOn w:val="DefaultParagraphFont"/>
    <w:link w:val="1044"/>
    <w:uiPriority w:val="9"/>
    <w:semiHidden/>
    <w:qFormat/>
    <w:rPr>
      <w:rFonts w:ascii="Cambria" w:hAnsi="Cambria" w:eastAsia="Times New Roman" w:cs="Times New Roman"/>
    </w:rPr>
  </w:style>
  <w:style w:type="character" w:styleId="IntestazioneCarattere" w:customStyle="1">
    <w:name w:val="Intestazione Carattere"/>
    <w:basedOn w:val="DefaultParagraphFont"/>
    <w:link w:val="1057"/>
    <w:uiPriority w:val="99"/>
    <w:qFormat/>
    <w:rPr>
      <w:rFonts w:ascii="Calibri" w:hAnsi="Calibri" w:eastAsia="Calibri" w:cs="Times New Roman"/>
    </w:rPr>
  </w:style>
  <w:style w:type="character" w:styleId="PidipaginaCarattere" w:customStyle="1">
    <w:name w:val="Piè di pagina Carattere"/>
    <w:basedOn w:val="DefaultParagraphFont"/>
    <w:link w:val="1059"/>
    <w:uiPriority w:val="99"/>
    <w:qFormat/>
    <w:rPr>
      <w:rFonts w:ascii="Calibri" w:hAnsi="Calibri" w:eastAsia="Calibri" w:cs="Times New Roman"/>
    </w:rPr>
  </w:style>
  <w:style w:type="character" w:styleId="CollegamentoInternet">
    <w:name w:val="Collegamento Internet"/>
    <w:basedOn w:val="DefaultParagraphFont"/>
    <w:uiPriority w:val="99"/>
    <w:unhideWhenUsed/>
    <w:rPr>
      <w:color w:val="0563C1"/>
      <w:u w:val="single"/>
    </w:rPr>
  </w:style>
  <w:style w:type="character" w:styleId="TestonotaapidipaginaCarattere" w:customStyle="1">
    <w:name w:val="Testo nota a piè di pagina Carattere"/>
    <w:basedOn w:val="DefaultParagraphFont"/>
    <w:link w:val="1062"/>
    <w:uiPriority w:val="99"/>
    <w:qFormat/>
    <w:rPr>
      <w:rFonts w:ascii="Calibri" w:hAnsi="Calibri" w:eastAsia="Calibri" w:cs="Times New Roman"/>
      <w:sz w:val="20"/>
      <w:szCs w:val="20"/>
    </w:rPr>
  </w:style>
  <w:style w:type="character" w:styleId="Richiamoallanotaapidipagina">
    <w:name w:val="Richiamo alla nota a piè di pagina"/>
    <w:rPr>
      <w:vertAlign w:val="superscript"/>
    </w:rPr>
  </w:style>
  <w:style w:type="character" w:styleId="FootnoteCharacters">
    <w:name w:val="Footnote Characters"/>
    <w:basedOn w:val="DefaultParagraphFont"/>
    <w:uiPriority w:val="99"/>
    <w:unhideWhenUsed/>
    <w:qFormat/>
    <w:rPr>
      <w:vertAlign w:val="superscript"/>
    </w:rPr>
  </w:style>
  <w:style w:type="character" w:styleId="MappadocumentoCarattere" w:customStyle="1">
    <w:name w:val="Mappa documento Carattere"/>
    <w:basedOn w:val="DefaultParagraphFont"/>
    <w:link w:val="1065"/>
    <w:uiPriority w:val="99"/>
    <w:semiHidden/>
    <w:qFormat/>
    <w:rPr>
      <w:rFonts w:ascii="Times New Roman" w:hAnsi="Times New Roman" w:eastAsia="Calibri" w:cs="Times New Roman"/>
      <w:sz w:val="24"/>
      <w:szCs w:val="24"/>
    </w:rPr>
  </w:style>
  <w:style w:type="character" w:styleId="Pagenumber">
    <w:name w:val="page number"/>
    <w:basedOn w:val="DefaultParagraphFont"/>
    <w:uiPriority w:val="99"/>
    <w:semiHidden/>
    <w:unhideWhenUsed/>
    <w:qFormat/>
    <w:rPr/>
  </w:style>
  <w:style w:type="character" w:styleId="TestofumettoCarattere" w:customStyle="1">
    <w:name w:val="Testo fumetto Carattere"/>
    <w:basedOn w:val="DefaultParagraphFont"/>
    <w:link w:val="1068"/>
    <w:uiPriority w:val="99"/>
    <w:semiHidden/>
    <w:qFormat/>
    <w:rPr>
      <w:rFonts w:ascii="Segoe UI" w:hAnsi="Segoe UI" w:eastAsia="Calibri" w:cs="Segoe UI"/>
      <w:sz w:val="18"/>
      <w:szCs w:val="18"/>
    </w:rPr>
  </w:style>
  <w:style w:type="character" w:styleId="Annotationreference">
    <w:name w:val="annotation reference"/>
    <w:basedOn w:val="DefaultParagraphFont"/>
    <w:uiPriority w:val="99"/>
    <w:semiHidden/>
    <w:unhideWhenUsed/>
    <w:qFormat/>
    <w:rPr>
      <w:sz w:val="16"/>
      <w:szCs w:val="16"/>
    </w:rPr>
  </w:style>
  <w:style w:type="character" w:styleId="TestocommentoCarattere" w:customStyle="1">
    <w:name w:val="Testo commento Carattere"/>
    <w:basedOn w:val="DefaultParagraphFont"/>
    <w:link w:val="1071"/>
    <w:uiPriority w:val="99"/>
    <w:qFormat/>
    <w:rPr>
      <w:rFonts w:ascii="Calibri" w:hAnsi="Calibri" w:eastAsia="Calibri" w:cs="Times New Roman"/>
      <w:sz w:val="20"/>
      <w:szCs w:val="20"/>
    </w:rPr>
  </w:style>
  <w:style w:type="character" w:styleId="SoggettocommentoCarattere" w:customStyle="1">
    <w:name w:val="Soggetto commento Carattere"/>
    <w:basedOn w:val="TestocommentoCarattere"/>
    <w:link w:val="1073"/>
    <w:uiPriority w:val="99"/>
    <w:semiHidden/>
    <w:qFormat/>
    <w:rPr>
      <w:b/>
      <w:bCs/>
    </w:rPr>
  </w:style>
  <w:style w:type="character" w:styleId="ParagrafoelencoCarattere" w:customStyle="1">
    <w:name w:val="Paragrafo elenco Carattere"/>
    <w:basedOn w:val="DefaultParagraphFont"/>
    <w:link w:val="1056"/>
    <w:uiPriority w:val="1"/>
    <w:qFormat/>
    <w:rPr>
      <w:rFonts w:ascii="Calibri" w:hAnsi="Calibri" w:eastAsia="Calibri" w:cs="Times New Roman"/>
    </w:rPr>
  </w:style>
  <w:style w:type="character" w:styleId="CorpodeltestoCarattere" w:customStyle="1">
    <w:name w:val="Corpo del testo Carattere"/>
    <w:basedOn w:val="DefaultParagraphFont"/>
    <w:link w:val="1077"/>
    <w:uiPriority w:val="99"/>
    <w:qFormat/>
    <w:rPr>
      <w:rFonts w:ascii="Times New Roman" w:hAnsi="Times New Roman" w:eastAsia="Times New Roman" w:cs="Times New Roman"/>
      <w:b/>
      <w:sz w:val="24"/>
      <w:szCs w:val="20"/>
      <w:lang w:eastAsia="it-IT"/>
    </w:rPr>
  </w:style>
  <w:style w:type="character" w:styleId="ListParagraphChar" w:customStyle="1">
    <w:name w:val="List Paragraph Char"/>
    <w:link w:val="1091"/>
    <w:uiPriority w:val="1"/>
    <w:qFormat/>
    <w:rPr>
      <w:rFonts w:ascii="Calibri" w:hAnsi="Calibri" w:eastAsia="Times New Roman" w:cs="Times New Roman"/>
      <w:sz w:val="24"/>
      <w:szCs w:val="24"/>
    </w:rPr>
  </w:style>
  <w:style w:type="character" w:styleId="CollegamentoInternetvisitato">
    <w:name w:val="Collegamento Internet visitato"/>
    <w:uiPriority w:val="99"/>
    <w:semiHidden/>
    <w:rPr>
      <w:rFonts w:cs="Times New Roman"/>
      <w:color w:val="954F72"/>
      <w:u w:val="single"/>
    </w:rPr>
  </w:style>
  <w:style w:type="character" w:styleId="Menzionenonrisolta1" w:customStyle="1">
    <w:name w:val="Menzione non risolta1"/>
    <w:basedOn w:val="DefaultParagraphFont"/>
    <w:uiPriority w:val="99"/>
    <w:semiHidden/>
    <w:unhideWhenUsed/>
    <w:qFormat/>
    <w:rPr>
      <w:color w:val="605E5C"/>
      <w:shd w:fill="E1DFDD" w:val="clear"/>
    </w:rPr>
  </w:style>
  <w:style w:type="character" w:styleId="Strong">
    <w:name w:val="Strong"/>
    <w:basedOn w:val="DefaultParagraphFont"/>
    <w:uiPriority w:val="22"/>
    <w:qFormat/>
    <w:rPr>
      <w:b/>
      <w:bCs/>
    </w:rPr>
  </w:style>
  <w:style w:type="character" w:styleId="Normaltextrun" w:customStyle="1">
    <w:name w:val="normaltextrun"/>
    <w:basedOn w:val="DefaultParagraphFont"/>
    <w:qFormat/>
    <w:rPr/>
  </w:style>
  <w:style w:type="character" w:styleId="Eop" w:customStyle="1">
    <w:name w:val="eop"/>
    <w:basedOn w:val="DefaultParagraphFont"/>
    <w:qFormat/>
    <w:rPr/>
  </w:style>
  <w:style w:type="character" w:styleId="Textrun" w:customStyle="1">
    <w:name w:val="textrun"/>
    <w:basedOn w:val="DefaultParagraphFont"/>
    <w:qFormat/>
    <w:rPr/>
  </w:style>
  <w:style w:type="character" w:styleId="Trackchangetextinsertion" w:customStyle="1">
    <w:name w:val="trackchangetextinsertion"/>
    <w:basedOn w:val="DefaultParagraphFont"/>
    <w:qFormat/>
    <w:rPr/>
  </w:style>
  <w:style w:type="character" w:styleId="Fieldrange" w:customStyle="1">
    <w:name w:val="fieldrange"/>
    <w:basedOn w:val="DefaultParagraphFont"/>
    <w:qFormat/>
    <w:rPr/>
  </w:style>
  <w:style w:type="character" w:styleId="Trackchangetextdeletionmarker" w:customStyle="1">
    <w:name w:val="trackchangetextdeletionmarker"/>
    <w:basedOn w:val="DefaultParagraphFont"/>
    <w:qFormat/>
    <w:rPr/>
  </w:style>
  <w:style w:type="character" w:styleId="Linebreakblob" w:customStyle="1">
    <w:name w:val="linebreakblob"/>
    <w:basedOn w:val="DefaultParagraphFont"/>
    <w:qFormat/>
    <w:rPr/>
  </w:style>
  <w:style w:type="character" w:styleId="Scxw9701279" w:customStyle="1">
    <w:name w:val="scxw9701279"/>
    <w:basedOn w:val="DefaultParagraphFont"/>
    <w:qFormat/>
    <w:rPr/>
  </w:style>
  <w:style w:type="character" w:styleId="Trackedchange" w:customStyle="1">
    <w:name w:val="trackedchange"/>
    <w:basedOn w:val="DefaultParagraphFont"/>
    <w:qFormat/>
    <w:rPr/>
  </w:style>
  <w:style w:type="character" w:styleId="Pagebreakblob" w:customStyle="1">
    <w:name w:val="pagebreakblob"/>
    <w:basedOn w:val="DefaultParagraphFont"/>
    <w:qFormat/>
    <w:rPr/>
  </w:style>
  <w:style w:type="character" w:styleId="Pagebreakborderspan" w:customStyle="1">
    <w:name w:val="pagebreakborderspan"/>
    <w:basedOn w:val="DefaultParagraphFont"/>
    <w:qFormat/>
    <w:rPr/>
  </w:style>
  <w:style w:type="character" w:styleId="Pagebreaktextspan" w:customStyle="1">
    <w:name w:val="pagebreaktextspan"/>
    <w:basedOn w:val="DefaultParagraphFont"/>
    <w:qFormat/>
    <w:rPr/>
  </w:style>
  <w:style w:type="character" w:styleId="Superscript" w:customStyle="1">
    <w:name w:val="superscript"/>
    <w:basedOn w:val="DefaultParagraphFont"/>
    <w:qFormat/>
    <w:rPr/>
  </w:style>
  <w:style w:type="character" w:styleId="Scxw41010769" w:customStyle="1">
    <w:name w:val="scxw41010769"/>
    <w:basedOn w:val="DefaultParagraphFont"/>
    <w:qFormat/>
    <w:rPr/>
  </w:style>
  <w:style w:type="character" w:styleId="Tabchar" w:customStyle="1">
    <w:name w:val="tabchar"/>
    <w:basedOn w:val="DefaultParagraphFont"/>
    <w:qFormat/>
    <w:rPr/>
  </w:style>
  <w:style w:type="character" w:styleId="Scxw105638499" w:customStyle="1">
    <w:name w:val="scxw105638499"/>
    <w:basedOn w:val="DefaultParagraphFont"/>
    <w:qFormat/>
    <w:rPr/>
  </w:style>
  <w:style w:type="character" w:styleId="Scxw177290230" w:customStyle="1">
    <w:name w:val="scxw177290230"/>
    <w:basedOn w:val="DefaultParagraphFont"/>
    <w:qFormat/>
    <w:rPr/>
  </w:style>
  <w:style w:type="character" w:styleId="Scxw180079173" w:customStyle="1">
    <w:name w:val="scxw180079173"/>
    <w:basedOn w:val="DefaultParagraphFont"/>
    <w:qFormat/>
    <w:rPr/>
  </w:style>
  <w:style w:type="character" w:styleId="Scxw34615556" w:customStyle="1">
    <w:name w:val="scxw34615556"/>
    <w:basedOn w:val="DefaultParagraphFont"/>
    <w:qFormat/>
    <w:rPr/>
  </w:style>
  <w:style w:type="character" w:styleId="Scxw107591278" w:customStyle="1">
    <w:name w:val="scxw107591278"/>
    <w:basedOn w:val="DefaultParagraphFont"/>
    <w:qFormat/>
    <w:rPr/>
  </w:style>
  <w:style w:type="character" w:styleId="Scxw53281155" w:customStyle="1">
    <w:name w:val="scxw53281155"/>
    <w:basedOn w:val="DefaultParagraphFont"/>
    <w:qFormat/>
    <w:rPr/>
  </w:style>
  <w:style w:type="character" w:styleId="TitoloCarattere" w:customStyle="1">
    <w:name w:val="Titolo Carattere"/>
    <w:basedOn w:val="DefaultParagraphFont"/>
    <w:link w:val="1124"/>
    <w:uiPriority w:val="99"/>
    <w:qFormat/>
    <w:rPr>
      <w:rFonts w:ascii="Times New Roman" w:hAnsi="Times New Roman" w:eastAsia="MS ??" w:cs="Times New Roman"/>
      <w:color w:val="000000"/>
      <w:sz w:val="24"/>
      <w:szCs w:val="24"/>
      <w:lang w:eastAsia="it-IT"/>
    </w:rPr>
  </w:style>
  <w:style w:type="character" w:styleId="TestocommentoCarattere1" w:customStyle="1">
    <w:name w:val="Testo commento Carattere1"/>
    <w:uiPriority w:val="99"/>
    <w:semiHidden/>
    <w:qFormat/>
    <w:rPr>
      <w:rFonts w:ascii="Times New Roman" w:hAnsi="Times New Roman" w:eastAsia="MS ??"/>
      <w:color w:val="000000"/>
      <w:sz w:val="20"/>
    </w:rPr>
  </w:style>
  <w:style w:type="paragraph" w:styleId="Titolo">
    <w:name w:val="Titolo"/>
    <w:basedOn w:val="Normal"/>
    <w:next w:val="Corpodeltesto"/>
    <w:qFormat/>
    <w:pPr>
      <w:keepNext w:val="true"/>
      <w:spacing w:before="240" w:after="120"/>
    </w:pPr>
    <w:rPr>
      <w:rFonts w:ascii="Liberation Sans" w:hAnsi="Liberation Sans" w:eastAsia="Microsoft YaHei" w:cs="Arial Unicode MS"/>
      <w:sz w:val="28"/>
      <w:szCs w:val="28"/>
    </w:rPr>
  </w:style>
  <w:style w:type="paragraph" w:styleId="Corpodeltesto">
    <w:name w:val="Body Text"/>
    <w:basedOn w:val="Normal"/>
    <w:link w:val="1078"/>
    <w:uiPriority w:val="99"/>
    <w:pPr>
      <w:spacing w:lineRule="auto" w:line="240" w:before="0" w:after="0"/>
      <w:jc w:val="both"/>
    </w:pPr>
    <w:rPr>
      <w:rFonts w:ascii="Times New Roman" w:hAnsi="Times New Roman" w:eastAsia="Times New Roman"/>
      <w:b/>
      <w:sz w:val="24"/>
      <w:szCs w:val="20"/>
      <w:lang w:eastAsia="it-IT"/>
    </w:rPr>
  </w:style>
  <w:style w:type="paragraph" w:styleId="Elenco">
    <w:name w:val="List"/>
    <w:basedOn w:val="Corpodeltesto"/>
    <w:pPr/>
    <w:rPr>
      <w:rFonts w:cs="Arial Unicode MS"/>
    </w:rPr>
  </w:style>
  <w:style w:type="paragraph" w:styleId="Didascalia">
    <w:name w:val="Caption"/>
    <w:basedOn w:val="Normal"/>
    <w:uiPriority w:val="35"/>
    <w:semiHidden/>
    <w:unhideWhenUsed/>
    <w:qFormat/>
    <w:pPr>
      <w:spacing w:lineRule="auto" w:line="276"/>
    </w:pPr>
    <w:rPr>
      <w:b/>
      <w:bCs/>
      <w:color w:val="4F81BD" w:themeColor="accent1"/>
      <w:sz w:val="18"/>
      <w:szCs w:val="18"/>
    </w:rPr>
  </w:style>
  <w:style w:type="paragraph" w:styleId="Indice">
    <w:name w:val="Indice"/>
    <w:basedOn w:val="Normal"/>
    <w:qFormat/>
    <w:pPr>
      <w:suppressLineNumbers/>
    </w:pPr>
    <w:rPr>
      <w:rFonts w:cs="Arial Unicode MS"/>
    </w:rPr>
  </w:style>
  <w:style w:type="paragraph" w:styleId="NoSpacing">
    <w:name w:val="No Spacing"/>
    <w:uiPriority w:val="1"/>
    <w:qFormat/>
    <w:pPr>
      <w:widowControl/>
      <w:bidi w:val="0"/>
      <w:spacing w:lineRule="auto" w:line="240" w:beforeAutospacing="0" w:before="0" w:afterAutospacing="0" w:after="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Sottotitolo">
    <w:name w:val="Subtitle"/>
    <w:basedOn w:val="Normal"/>
    <w:link w:val="896"/>
    <w:uiPriority w:val="11"/>
    <w:qFormat/>
    <w:pPr>
      <w:spacing w:before="200" w:after="200"/>
    </w:pPr>
    <w:rPr>
      <w:sz w:val="24"/>
      <w:szCs w:val="24"/>
    </w:rPr>
  </w:style>
  <w:style w:type="paragraph" w:styleId="Quote">
    <w:name w:val="Quote"/>
    <w:basedOn w:val="Normal"/>
    <w:link w:val="898"/>
    <w:uiPriority w:val="29"/>
    <w:qFormat/>
    <w:pPr>
      <w:ind w:left="720" w:right="720" w:hanging="0"/>
    </w:pPr>
    <w:rPr>
      <w:i/>
    </w:rPr>
  </w:style>
  <w:style w:type="paragraph" w:styleId="IntenseQuote">
    <w:name w:val="Intense Quote"/>
    <w:basedOn w:val="Normal"/>
    <w:link w:val="900"/>
    <w:uiPriority w:val="30"/>
    <w:qFormat/>
    <w:pPr>
      <w:pBdr>
        <w:top w:val="single" w:sz="4" w:space="5" w:color="FFFFFF"/>
        <w:left w:val="single" w:sz="4" w:space="10" w:color="FFFFFF"/>
        <w:bottom w:val="single" w:sz="4" w:space="5" w:color="FFFFFF"/>
        <w:right w:val="single" w:sz="4" w:space="10" w:color="FFFFFF"/>
      </w:pBdr>
      <w:shd w:val="clear" w:color="auto" w:fill="F2F2F2"/>
      <w:spacing w:before="0" w:after="200"/>
      <w:ind w:left="720" w:right="720" w:hanging="0"/>
    </w:pPr>
    <w:rPr>
      <w:i/>
    </w:rPr>
  </w:style>
  <w:style w:type="paragraph" w:styleId="Notadichiusura">
    <w:name w:val="Endnote Text"/>
    <w:basedOn w:val="Normal"/>
    <w:link w:val="1032"/>
    <w:uiPriority w:val="99"/>
    <w:semiHidden/>
    <w:unhideWhenUsed/>
    <w:pPr>
      <w:spacing w:lineRule="auto" w:line="240" w:before="0" w:after="0"/>
    </w:pPr>
    <w:rPr>
      <w:sz w:val="20"/>
    </w:rPr>
  </w:style>
  <w:style w:type="paragraph" w:styleId="TOCHeading">
    <w:name w:val="TOC Heading"/>
    <w:uiPriority w:val="39"/>
    <w:unhideWhenUsed/>
    <w:qFormat/>
    <w:pPr>
      <w:widowControl/>
      <w:bidi w:val="0"/>
      <w:spacing w:lineRule="auto" w:line="276" w:beforeAutospacing="0" w:before="0" w:afterAutospacing="0" w:after="20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Tableoffigures">
    <w:name w:val="table of figures"/>
    <w:basedOn w:val="Normal"/>
    <w:uiPriority w:val="99"/>
    <w:unhideWhenUsed/>
    <w:qFormat/>
    <w:pPr>
      <w:spacing w:before="0" w:afterAutospacing="0" w:after="0"/>
    </w:pPr>
    <w:rPr/>
  </w:style>
  <w:style w:type="paragraph" w:styleId="ListParagraph">
    <w:name w:val="List Paragraph"/>
    <w:basedOn w:val="Normal"/>
    <w:link w:val="1076"/>
    <w:uiPriority w:val="1"/>
    <w:qFormat/>
    <w:pPr>
      <w:spacing w:before="0" w:after="160"/>
      <w:ind w:left="720" w:hanging="0"/>
      <w:contextualSpacing/>
    </w:pPr>
    <w:rPr/>
  </w:style>
  <w:style w:type="paragraph" w:styleId="Intestazioneepidipagina">
    <w:name w:val="Intestazione e piè di pagina"/>
    <w:basedOn w:val="Normal"/>
    <w:qFormat/>
    <w:pPr/>
    <w:rPr/>
  </w:style>
  <w:style w:type="paragraph" w:styleId="Intestazione">
    <w:name w:val="Header"/>
    <w:basedOn w:val="Normal"/>
    <w:link w:val="1058"/>
    <w:uiPriority w:val="99"/>
    <w:unhideWhenUsed/>
    <w:pPr>
      <w:tabs>
        <w:tab w:val="clear" w:pos="708"/>
        <w:tab w:val="center" w:pos="4819" w:leader="none"/>
        <w:tab w:val="right" w:pos="9638" w:leader="none"/>
      </w:tabs>
      <w:spacing w:lineRule="auto" w:line="240" w:before="0" w:after="0"/>
    </w:pPr>
    <w:rPr/>
  </w:style>
  <w:style w:type="paragraph" w:styleId="Pidipagina">
    <w:name w:val="Footer"/>
    <w:basedOn w:val="Normal"/>
    <w:link w:val="1060"/>
    <w:uiPriority w:val="99"/>
    <w:unhideWhenUsed/>
    <w:pPr>
      <w:tabs>
        <w:tab w:val="clear" w:pos="708"/>
        <w:tab w:val="center" w:pos="4819" w:leader="none"/>
        <w:tab w:val="right" w:pos="9638" w:leader="none"/>
      </w:tabs>
      <w:spacing w:lineRule="auto" w:line="240" w:before="0" w:after="0"/>
    </w:pPr>
    <w:rPr/>
  </w:style>
  <w:style w:type="paragraph" w:styleId="Notaapidipagina">
    <w:name w:val="Footnote Text"/>
    <w:basedOn w:val="Normal"/>
    <w:link w:val="1063"/>
    <w:uiPriority w:val="99"/>
    <w:unhideWhenUsed/>
    <w:qFormat/>
    <w:pPr>
      <w:spacing w:lineRule="auto" w:line="240" w:before="0" w:after="0"/>
    </w:pPr>
    <w:rPr>
      <w:sz w:val="20"/>
      <w:szCs w:val="20"/>
    </w:rPr>
  </w:style>
  <w:style w:type="paragraph" w:styleId="DocumentMap">
    <w:name w:val="Document Map"/>
    <w:basedOn w:val="Normal"/>
    <w:link w:val="1066"/>
    <w:uiPriority w:val="99"/>
    <w:semiHidden/>
    <w:unhideWhenUsed/>
    <w:qFormat/>
    <w:pPr>
      <w:spacing w:lineRule="auto" w:line="240" w:before="0" w:after="0"/>
    </w:pPr>
    <w:rPr>
      <w:rFonts w:ascii="Times New Roman" w:hAnsi="Times New Roman"/>
      <w:sz w:val="24"/>
      <w:szCs w:val="24"/>
    </w:rPr>
  </w:style>
  <w:style w:type="paragraph" w:styleId="BalloonText">
    <w:name w:val="Balloon Text"/>
    <w:basedOn w:val="Normal"/>
    <w:link w:val="1069"/>
    <w:uiPriority w:val="99"/>
    <w:semiHidden/>
    <w:unhideWhenUsed/>
    <w:qFormat/>
    <w:pPr>
      <w:spacing w:lineRule="auto" w:line="240" w:before="0" w:after="0"/>
    </w:pPr>
    <w:rPr>
      <w:rFonts w:ascii="Segoe UI" w:hAnsi="Segoe UI" w:cs="Segoe UI"/>
      <w:sz w:val="18"/>
      <w:szCs w:val="18"/>
    </w:rPr>
  </w:style>
  <w:style w:type="paragraph" w:styleId="Annotationtext">
    <w:name w:val="annotation text"/>
    <w:basedOn w:val="Normal"/>
    <w:link w:val="1072"/>
    <w:uiPriority w:val="99"/>
    <w:unhideWhenUsed/>
    <w:qFormat/>
    <w:pPr>
      <w:spacing w:lineRule="auto" w:line="240"/>
    </w:pPr>
    <w:rPr>
      <w:sz w:val="20"/>
      <w:szCs w:val="20"/>
    </w:rPr>
  </w:style>
  <w:style w:type="paragraph" w:styleId="Annotationsubject">
    <w:name w:val="annotation subject"/>
    <w:basedOn w:val="Annotationtext"/>
    <w:link w:val="1074"/>
    <w:uiPriority w:val="99"/>
    <w:semiHidden/>
    <w:unhideWhenUsed/>
    <w:qFormat/>
    <w:pPr/>
    <w:rPr>
      <w:b/>
      <w:bCs/>
    </w:rPr>
  </w:style>
  <w:style w:type="paragraph" w:styleId="Revision">
    <w:name w:val="Revision"/>
    <w:uiPriority w:val="99"/>
    <w:semiHidden/>
    <w:qFormat/>
    <w:pPr>
      <w:widowControl/>
      <w:bidi w:val="0"/>
      <w:spacing w:lineRule="auto" w:line="240" w:beforeAutospacing="0" w:before="0" w:afterAutospacing="0" w:after="0"/>
      <w:jc w:val="left"/>
    </w:pPr>
    <w:rPr>
      <w:rFonts w:ascii="Calibri" w:hAnsi="Calibri" w:eastAsia="Calibri" w:cs="Times New Roman" w:asciiTheme="minorHAnsi" w:eastAsiaTheme="minorHAnsi" w:hAnsiTheme="minorHAnsi"/>
      <w:color w:val="auto"/>
      <w:kern w:val="0"/>
      <w:sz w:val="22"/>
      <w:szCs w:val="22"/>
      <w:lang w:val="it-IT" w:eastAsia="en-US" w:bidi="ar-SA"/>
    </w:rPr>
  </w:style>
  <w:style w:type="paragraph" w:styleId="Index1">
    <w:name w:val="index 1"/>
    <w:basedOn w:val="Normal"/>
    <w:uiPriority w:val="99"/>
    <w:semiHidden/>
    <w:qFormat/>
    <w:pPr>
      <w:tabs>
        <w:tab w:val="clear" w:pos="708"/>
        <w:tab w:val="right" w:pos="4449" w:leader="dot"/>
      </w:tabs>
      <w:spacing w:lineRule="auto" w:line="240" w:before="0" w:after="0"/>
      <w:ind w:left="426" w:hanging="0"/>
      <w:jc w:val="both"/>
    </w:pPr>
    <w:rPr>
      <w:b/>
    </w:rPr>
  </w:style>
  <w:style w:type="paragraph" w:styleId="Indexheading">
    <w:name w:val="index heading"/>
    <w:basedOn w:val="Normal"/>
    <w:uiPriority w:val="99"/>
    <w:semiHidden/>
    <w:qFormat/>
    <w:pPr>
      <w:spacing w:lineRule="auto" w:line="240" w:before="0" w:after="0"/>
      <w:jc w:val="both"/>
    </w:pPr>
    <w:rPr>
      <w:rFonts w:ascii="Times New Roman" w:hAnsi="Times New Roman" w:eastAsia="Times New Roman"/>
      <w:sz w:val="24"/>
      <w:szCs w:val="24"/>
      <w:lang w:eastAsia="it-IT"/>
    </w:rPr>
  </w:style>
  <w:style w:type="paragraph" w:styleId="Indice1">
    <w:name w:val="TOC 1"/>
    <w:basedOn w:val="Normal"/>
    <w:uiPriority w:val="39"/>
    <w:unhideWhenUsed/>
    <w:pPr>
      <w:tabs>
        <w:tab w:val="clear" w:pos="708"/>
        <w:tab w:val="right" w:pos="9628" w:leader="dot"/>
      </w:tabs>
      <w:spacing w:before="120" w:after="0"/>
    </w:pPr>
    <w:rPr>
      <w:b/>
      <w:bCs/>
      <w:sz w:val="24"/>
      <w:szCs w:val="24"/>
    </w:rPr>
  </w:style>
  <w:style w:type="paragraph" w:styleId="Indice2">
    <w:name w:val="TOC 2"/>
    <w:basedOn w:val="Normal"/>
    <w:uiPriority w:val="39"/>
    <w:unhideWhenUsed/>
    <w:pPr>
      <w:tabs>
        <w:tab w:val="clear" w:pos="708"/>
        <w:tab w:val="left" w:pos="660" w:leader="none"/>
        <w:tab w:val="right" w:pos="9628" w:leader="dot"/>
      </w:tabs>
      <w:spacing w:before="0" w:after="0"/>
      <w:ind w:left="220" w:hanging="0"/>
    </w:pPr>
    <w:rPr>
      <w:b/>
      <w:bCs/>
    </w:rPr>
  </w:style>
  <w:style w:type="paragraph" w:styleId="Indice3">
    <w:name w:val="TOC 3"/>
    <w:basedOn w:val="Normal"/>
    <w:uiPriority w:val="39"/>
    <w:unhideWhenUsed/>
    <w:pPr>
      <w:tabs>
        <w:tab w:val="clear" w:pos="708"/>
        <w:tab w:val="left" w:pos="1320" w:leader="none"/>
        <w:tab w:val="right" w:pos="9638" w:leader="dot"/>
      </w:tabs>
      <w:spacing w:before="0" w:after="0"/>
      <w:ind w:left="440" w:hanging="0"/>
      <w:jc w:val="both"/>
    </w:pPr>
    <w:rPr/>
  </w:style>
  <w:style w:type="paragraph" w:styleId="Indice4">
    <w:name w:val="TOC 4"/>
    <w:basedOn w:val="Normal"/>
    <w:uiPriority w:val="39"/>
    <w:unhideWhenUsed/>
    <w:pPr>
      <w:spacing w:before="0" w:after="0"/>
      <w:ind w:left="660" w:hanging="0"/>
    </w:pPr>
    <w:rPr>
      <w:sz w:val="20"/>
      <w:szCs w:val="20"/>
    </w:rPr>
  </w:style>
  <w:style w:type="paragraph" w:styleId="Indice5">
    <w:name w:val="TOC 5"/>
    <w:basedOn w:val="Normal"/>
    <w:uiPriority w:val="39"/>
    <w:unhideWhenUsed/>
    <w:pPr>
      <w:spacing w:before="0" w:after="0"/>
      <w:ind w:left="880" w:hanging="0"/>
    </w:pPr>
    <w:rPr>
      <w:sz w:val="20"/>
      <w:szCs w:val="20"/>
    </w:rPr>
  </w:style>
  <w:style w:type="paragraph" w:styleId="Indice6">
    <w:name w:val="TOC 6"/>
    <w:basedOn w:val="Normal"/>
    <w:uiPriority w:val="39"/>
    <w:unhideWhenUsed/>
    <w:pPr>
      <w:spacing w:before="0" w:after="0"/>
      <w:ind w:left="1100" w:hanging="0"/>
    </w:pPr>
    <w:rPr>
      <w:sz w:val="20"/>
      <w:szCs w:val="20"/>
    </w:rPr>
  </w:style>
  <w:style w:type="paragraph" w:styleId="Indice7">
    <w:name w:val="TOC 7"/>
    <w:basedOn w:val="Normal"/>
    <w:uiPriority w:val="39"/>
    <w:unhideWhenUsed/>
    <w:pPr>
      <w:spacing w:before="0" w:after="0"/>
      <w:ind w:left="1320" w:hanging="0"/>
    </w:pPr>
    <w:rPr>
      <w:sz w:val="20"/>
      <w:szCs w:val="20"/>
    </w:rPr>
  </w:style>
  <w:style w:type="paragraph" w:styleId="Indice8">
    <w:name w:val="TOC 8"/>
    <w:basedOn w:val="Normal"/>
    <w:uiPriority w:val="39"/>
    <w:unhideWhenUsed/>
    <w:pPr>
      <w:spacing w:before="0" w:after="0"/>
      <w:ind w:left="1540" w:hanging="0"/>
    </w:pPr>
    <w:rPr>
      <w:sz w:val="20"/>
      <w:szCs w:val="20"/>
    </w:rPr>
  </w:style>
  <w:style w:type="paragraph" w:styleId="Indice9">
    <w:name w:val="TOC 9"/>
    <w:basedOn w:val="Normal"/>
    <w:uiPriority w:val="39"/>
    <w:unhideWhenUsed/>
    <w:pPr>
      <w:spacing w:before="0" w:after="0"/>
      <w:ind w:left="1760" w:hanging="0"/>
    </w:pPr>
    <w:rPr>
      <w:sz w:val="20"/>
      <w:szCs w:val="20"/>
    </w:rPr>
  </w:style>
  <w:style w:type="paragraph" w:styleId="Paragrafoelenco1" w:customStyle="1">
    <w:name w:val="Paragrafo elenco1"/>
    <w:basedOn w:val="Normal"/>
    <w:link w:val="1092"/>
    <w:uiPriority w:val="1"/>
    <w:qFormat/>
    <w:pPr>
      <w:spacing w:lineRule="auto" w:line="240" w:before="0" w:after="0"/>
      <w:ind w:left="720" w:hanging="0"/>
    </w:pPr>
    <w:rPr>
      <w:rFonts w:eastAsia="Times New Roman"/>
      <w:sz w:val="24"/>
      <w:szCs w:val="24"/>
    </w:rPr>
  </w:style>
  <w:style w:type="paragraph" w:styleId="Default" w:customStyle="1">
    <w:name w:val="Default"/>
    <w:qFormat/>
    <w:pPr>
      <w:widowControl/>
      <w:bidi w:val="0"/>
      <w:spacing w:lineRule="auto" w:line="240" w:beforeAutospacing="0" w:before="0" w:afterAutospacing="0" w:after="0"/>
      <w:jc w:val="left"/>
    </w:pPr>
    <w:rPr>
      <w:rFonts w:ascii="Arial" w:hAnsi="Arial" w:eastAsia="Calibri" w:cs="Arial"/>
      <w:color w:val="000000"/>
      <w:kern w:val="0"/>
      <w:sz w:val="24"/>
      <w:szCs w:val="24"/>
      <w:lang w:val="it-IT" w:eastAsia="en-US" w:bidi="ar-SA"/>
    </w:rPr>
  </w:style>
  <w:style w:type="paragraph" w:styleId="NormalWeb">
    <w:name w:val="Normal (Web)"/>
    <w:basedOn w:val="Normal"/>
    <w:uiPriority w:val="99"/>
    <w:qFormat/>
    <w:pPr>
      <w:spacing w:lineRule="auto" w:line="240" w:beforeAutospacing="1" w:afterAutospacing="1"/>
    </w:pPr>
    <w:rPr>
      <w:rFonts w:ascii="Times New Roman" w:hAnsi="Times New Roman" w:eastAsia="Times New Roman"/>
      <w:sz w:val="24"/>
      <w:szCs w:val="24"/>
      <w:lang w:eastAsia="it-IT"/>
    </w:rPr>
  </w:style>
  <w:style w:type="paragraph" w:styleId="Paragraph" w:customStyle="1">
    <w:name w:val="paragraph"/>
    <w:basedOn w:val="Normal"/>
    <w:qFormat/>
    <w:pPr>
      <w:spacing w:lineRule="auto" w:line="240" w:beforeAutospacing="1" w:afterAutospacing="1"/>
    </w:pPr>
    <w:rPr>
      <w:rFonts w:ascii="Times New Roman" w:hAnsi="Times New Roman" w:eastAsia="Times New Roman"/>
      <w:sz w:val="24"/>
      <w:szCs w:val="24"/>
      <w:lang w:eastAsia="it-IT"/>
    </w:rPr>
  </w:style>
  <w:style w:type="paragraph" w:styleId="Msonormal" w:customStyle="1">
    <w:name w:val="msonormal"/>
    <w:basedOn w:val="Normal"/>
    <w:qFormat/>
    <w:pPr>
      <w:spacing w:lineRule="auto" w:line="240" w:beforeAutospacing="1" w:afterAutospacing="1"/>
    </w:pPr>
    <w:rPr>
      <w:rFonts w:ascii="Times New Roman" w:hAnsi="Times New Roman" w:eastAsia="Times New Roman"/>
      <w:sz w:val="24"/>
      <w:szCs w:val="24"/>
      <w:lang w:eastAsia="it-IT"/>
    </w:rPr>
  </w:style>
  <w:style w:type="paragraph" w:styleId="Outlineelement" w:customStyle="1">
    <w:name w:val="outlineelement"/>
    <w:basedOn w:val="Normal"/>
    <w:qFormat/>
    <w:pPr>
      <w:spacing w:lineRule="auto" w:line="240" w:beforeAutospacing="1" w:afterAutospacing="1"/>
    </w:pPr>
    <w:rPr>
      <w:rFonts w:ascii="Times New Roman" w:hAnsi="Times New Roman" w:eastAsia="Times New Roman"/>
      <w:sz w:val="24"/>
      <w:szCs w:val="24"/>
      <w:lang w:eastAsia="it-IT"/>
    </w:rPr>
  </w:style>
  <w:style w:type="paragraph" w:styleId="Normale1" w:customStyle="1">
    <w:name w:val="Normale1"/>
    <w:qFormat/>
    <w:pPr>
      <w:widowControl/>
      <w:bidi w:val="0"/>
      <w:spacing w:lineRule="auto" w:line="240" w:beforeAutospacing="0" w:before="0" w:afterAutospacing="0" w:after="0"/>
      <w:jc w:val="left"/>
    </w:pPr>
    <w:rPr>
      <w:rFonts w:ascii="Calibri" w:hAnsi="Calibri" w:eastAsia="Calibri" w:cs="Calibri" w:asciiTheme="minorHAnsi" w:eastAsiaTheme="minorHAnsi" w:hAnsiTheme="minorHAnsi"/>
      <w:color w:val="auto"/>
      <w:kern w:val="0"/>
      <w:sz w:val="20"/>
      <w:szCs w:val="20"/>
      <w:lang w:eastAsia="it-IT" w:val="it-IT" w:bidi="ar-SA"/>
    </w:rPr>
  </w:style>
  <w:style w:type="paragraph" w:styleId="Textbody" w:customStyle="1">
    <w:name w:val="Text body"/>
    <w:basedOn w:val="Normal"/>
    <w:qFormat/>
    <w:pPr>
      <w:widowControl w:val="false"/>
      <w:spacing w:lineRule="auto" w:line="240" w:before="0" w:after="120"/>
    </w:pPr>
    <w:rPr>
      <w:rFonts w:ascii="Times New Roman" w:hAnsi="Times New Roman" w:eastAsia="SimSun" w:cs="Mangal"/>
      <w:sz w:val="24"/>
      <w:szCs w:val="24"/>
      <w:lang w:eastAsia="zh-CN" w:bidi="hi-IN"/>
    </w:rPr>
  </w:style>
  <w:style w:type="paragraph" w:styleId="Titoloprincipale">
    <w:name w:val="Title"/>
    <w:basedOn w:val="Normal"/>
    <w:link w:val="1125"/>
    <w:uiPriority w:val="99"/>
    <w:qFormat/>
    <w:pPr>
      <w:spacing w:lineRule="auto" w:line="247" w:before="0" w:after="120"/>
      <w:ind w:left="10" w:right="5" w:hanging="10"/>
      <w:jc w:val="center"/>
    </w:pPr>
    <w:rPr>
      <w:rFonts w:ascii="Times New Roman" w:hAnsi="Times New Roman" w:eastAsia="MS ??"/>
      <w:color w:val="000000"/>
      <w:sz w:val="24"/>
      <w:szCs w:val="24"/>
      <w:lang w:eastAsia="it-IT"/>
    </w:rPr>
  </w:style>
  <w:style w:type="numbering" w:styleId="NoList" w:default="1">
    <w:name w:val="No List"/>
    <w:uiPriority w:val="99"/>
    <w:semiHidden/>
    <w:unhideWhenUsed/>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xmlns:r="http://schemas.openxmlformats.org/officeDocument/2006/relationships" xmlns:p="http://schemas.openxmlformats.org/presentation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TotalTime>0</TotalTime>
  <Application>LibreOffice/6.4.3.2$Windows_X86_64 LibreOffice_project/747b5d0ebf89f41c860ec2a39efd7cb15b54f2d8</Application>
  <Pages>21</Pages>
  <Words>6544</Words>
  <Characters>40502</Characters>
  <CharactersWithSpaces>47044</CharactersWithSpaces>
  <Paragraphs>534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2024-08-01T08:33:00Z</dcterms:created>
  <dc:creator>michela.bellomo</dc:creator>
  <dc:description/>
  <dc:language>it-IT</dc:language>
  <cp:lastModifiedBy/>
  <dcterms:modified xsi:type="dcterms:W3CDTF">2024-10-16T14:44:10Z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ecurity">
    <vt:i4>0</vt:i4>
  </property>
  <property fmtid="{D5CDD505-2E9C-101B-9397-08002B2CF9AE}" pid="3" name="HyperlinksChanged">
    <vt:bool>0</vt:bool>
  </property>
  <property fmtid="{D5CDD505-2E9C-101B-9397-08002B2CF9AE}" pid="4" name="LinksUpToDate">
    <vt:bool>0</vt:bool>
  </property>
  <property fmtid="{D5CDD505-2E9C-101B-9397-08002B2CF9AE}" pid="5" name="ScaleCrop">
    <vt:bool>0</vt:bool>
  </property>
  <property fmtid="{D5CDD505-2E9C-101B-9397-08002B2CF9AE}" pid="6" name="ShareDoc">
    <vt:bool>0</vt:bool>
  </property>
</Properties>
</file>