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ind w:left="1134" w:hanging="1134"/>
        <w:rPr>
          <w:rFonts w:ascii="Calibri Light" w:hAnsi="Calibri Light" w:eastAsia="Times New Roman"/>
          <w:b/>
          <w:b/>
          <w:color w:val="1F4D78"/>
          <w:sz w:val="32"/>
          <w:szCs w:val="32"/>
        </w:rPr>
      </w:pPr>
      <w:r>
        <w:rPr>
          <w:rFonts w:eastAsia="Times New Roman" w:ascii="Calibri Light" w:hAnsi="Calibri Light"/>
          <w:b/>
          <w:color w:val="1F4D78"/>
          <w:sz w:val="32"/>
          <w:szCs w:val="32"/>
        </w:rPr>
      </w:r>
    </w:p>
    <w:p>
      <w:pPr>
        <w:pStyle w:val="Normal"/>
        <w:spacing w:lineRule="auto" w:line="240" w:before="0" w:after="0"/>
        <w:ind w:left="1134" w:hanging="1134"/>
        <w:rPr>
          <w:rFonts w:ascii="Calibri Light" w:hAnsi="Calibri Light" w:eastAsia="Times New Roman"/>
          <w:b/>
          <w:b/>
          <w:color w:val="1F4D78"/>
          <w:sz w:val="32"/>
          <w:szCs w:val="32"/>
        </w:rPr>
      </w:pPr>
      <w:r>
        <w:rPr>
          <w:rFonts w:eastAsia="Times New Roman" w:ascii="Calibri Light" w:hAnsi="Calibri Light"/>
          <w:b/>
          <w:color w:val="1F4D78"/>
          <w:sz w:val="32"/>
          <w:szCs w:val="32"/>
        </w:rPr>
      </w:r>
    </w:p>
    <w:p>
      <w:pPr>
        <w:pStyle w:val="Normal"/>
        <w:spacing w:lineRule="auto" w:line="240" w:before="0" w:after="0"/>
        <w:ind w:left="1134" w:hanging="1134"/>
        <w:jc w:val="center"/>
        <w:rPr>
          <w:rFonts w:ascii="Calibri Light" w:hAnsi="Calibri Light" w:eastAsia="Times New Roman"/>
          <w:b/>
          <w:b/>
          <w:color w:val="1F4D78"/>
          <w:sz w:val="32"/>
          <w:szCs w:val="32"/>
        </w:rPr>
      </w:pPr>
      <w:r>
        <w:rPr>
          <w:rFonts w:eastAsia="Times New Roman" w:ascii="Calibri Light" w:hAnsi="Calibri Light"/>
          <w:b/>
          <w:color w:val="1F4D78"/>
          <w:sz w:val="32"/>
          <w:szCs w:val="32"/>
        </w:rPr>
        <w:t>ALLEGATO 8</w:t>
      </w:r>
    </w:p>
    <w:p>
      <w:pPr>
        <w:pStyle w:val="Normal"/>
        <w:spacing w:lineRule="auto" w:line="240" w:before="0" w:after="0"/>
        <w:ind w:left="1134" w:hanging="1134"/>
        <w:jc w:val="both"/>
        <w:rPr>
          <w:rFonts w:ascii="Calibri Light" w:hAnsi="Calibri Light" w:eastAsia="Times New Roman"/>
          <w:b/>
          <w:b/>
          <w:color w:val="1F4D78"/>
          <w:sz w:val="30"/>
          <w:szCs w:val="30"/>
        </w:rPr>
      </w:pPr>
      <w:r>
        <w:rPr>
          <w:rFonts w:eastAsia="Times New Roman" w:ascii="Calibri Light" w:hAnsi="Calibri Light"/>
          <w:b/>
          <w:color w:val="1F4D78"/>
          <w:sz w:val="30"/>
          <w:szCs w:val="30"/>
        </w:rPr>
        <w:t xml:space="preserve">Allegato  8   Schede per la verifica e il controllo per garantire la conformità al principio di non arrecare danno significativo  (cd. DNSH) </w:t>
      </w:r>
    </w:p>
    <w:p>
      <w:pPr>
        <w:pStyle w:val="Normal"/>
        <w:spacing w:lineRule="auto" w:line="240" w:before="0" w:after="0"/>
        <w:ind w:left="1134" w:hanging="1134"/>
        <w:rPr>
          <w:rFonts w:eastAsia="Times New Roman" w:cs="Calibri"/>
          <w:lang w:eastAsia="it-IT"/>
        </w:rPr>
      </w:pPr>
      <w:r>
        <w:rPr>
          <w:rFonts w:eastAsia="Times New Roman" w:cs="Calibri"/>
          <w:lang w:eastAsia="it-IT"/>
        </w:rPr>
      </w:r>
    </w:p>
    <w:tbl>
      <w:tblPr>
        <w:tblStyle w:val="709"/>
        <w:tblW w:w="19559" w:type="dxa"/>
        <w:jc w:val="left"/>
        <w:tblInd w:w="70" w:type="dxa"/>
        <w:tblCellMar>
          <w:top w:w="0" w:type="dxa"/>
          <w:left w:w="70" w:type="dxa"/>
          <w:bottom w:w="0" w:type="dxa"/>
          <w:right w:w="70" w:type="dxa"/>
        </w:tblCellMar>
        <w:tblLook w:firstRow="1" w:noVBand="1" w:lastRow="0" w:firstColumn="1" w:lastColumn="0" w:noHBand="0" w:val="04a0"/>
      </w:tblPr>
      <w:tblGrid>
        <w:gridCol w:w="2249"/>
        <w:gridCol w:w="946"/>
        <w:gridCol w:w="988"/>
        <w:gridCol w:w="2621"/>
        <w:gridCol w:w="6590"/>
        <w:gridCol w:w="610"/>
        <w:gridCol w:w="299"/>
        <w:gridCol w:w="299"/>
        <w:gridCol w:w="303"/>
        <w:gridCol w:w="476"/>
        <w:gridCol w:w="307"/>
        <w:gridCol w:w="1169"/>
        <w:gridCol w:w="2700"/>
      </w:tblGrid>
      <w:tr>
        <w:trPr>
          <w:trHeight w:val="372" w:hRule="atLeast"/>
        </w:trPr>
        <w:tc>
          <w:tcPr>
            <w:tcW w:w="19557" w:type="dxa"/>
            <w:gridSpan w:val="13"/>
            <w:tcBorders>
              <w:top w:val="single" w:sz="8" w:space="0" w:color="000000"/>
              <w:left w:val="single" w:sz="8" w:space="0" w:color="000000"/>
              <w:bottom w:val="single" w:sz="8" w:space="0" w:color="000000"/>
              <w:right w:val="single" w:sz="8" w:space="0" w:color="000000"/>
            </w:tcBorders>
            <w:shd w:color="000000" w:fill="FBE4D5" w:val="clear"/>
            <w:vAlign w:val="bottom"/>
          </w:tcPr>
          <w:p>
            <w:pPr>
              <w:pStyle w:val="Normal"/>
              <w:spacing w:lineRule="auto" w:line="240" w:before="0" w:after="0"/>
              <w:jc w:val="center"/>
              <w:rPr>
                <w:rFonts w:eastAsia="Times New Roman" w:cs="Calibri"/>
                <w:b/>
                <w:b/>
                <w:bCs/>
                <w:i/>
                <w:i/>
                <w:iCs/>
                <w:color w:val="000000"/>
                <w:sz w:val="28"/>
                <w:szCs w:val="28"/>
                <w:lang w:eastAsia="it-IT"/>
              </w:rPr>
            </w:pPr>
            <w:r>
              <w:rPr>
                <w:rFonts w:eastAsia="Times New Roman" w:cs="Calibri"/>
                <w:b/>
                <w:bCs/>
                <w:i/>
                <w:iCs/>
                <w:color w:val="000000"/>
                <w:sz w:val="28"/>
                <w:szCs w:val="28"/>
                <w:lang w:eastAsia="it-IT"/>
              </w:rPr>
              <w:t xml:space="preserve">Scheda 1  – Costruzione di nuovi edifici                                                                                      </w:t>
            </w:r>
          </w:p>
        </w:tc>
      </w:tr>
      <w:tr>
        <w:trPr>
          <w:trHeight w:val="128" w:hRule="atLeast"/>
        </w:trPr>
        <w:tc>
          <w:tcPr>
            <w:tcW w:w="4183" w:type="dxa"/>
            <w:gridSpan w:val="3"/>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621"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200" w:type="dxa"/>
            <w:gridSpan w:val="2"/>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99"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99"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303"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476"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76" w:type="dxa"/>
            <w:gridSpan w:val="2"/>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700" w:type="dxa"/>
            <w:tcBorders>
              <w:top w:val="nil"/>
              <w:left w:val="nil"/>
              <w:bottom w:val="nil"/>
              <w:right w:val="nil"/>
            </w:tcBorders>
            <w:shd w:color="FFFFFF" w:fill="FFFFFF"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r>
      <w:tr>
        <w:trPr>
          <w:trHeight w:val="855" w:hRule="atLeast"/>
        </w:trPr>
        <w:tc>
          <w:tcPr>
            <w:tcW w:w="2249" w:type="dxa"/>
            <w:tcBorders>
              <w:top w:val="single" w:sz="12" w:space="0" w:color="000000"/>
              <w:left w:val="single" w:sz="12"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6" w:type="dxa"/>
            <w:tcBorders>
              <w:top w:val="single" w:sz="12" w:space="0" w:color="000000"/>
              <w:left w:val="single" w:sz="6"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9" w:type="dxa"/>
            <w:gridSpan w:val="3"/>
            <w:tcBorders>
              <w:top w:val="single" w:sz="12" w:space="0" w:color="000000"/>
              <w:left w:val="single" w:sz="6" w:space="0" w:color="000000"/>
              <w:bottom w:val="single" w:sz="6"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4" w:type="dxa"/>
            <w:gridSpan w:val="6"/>
            <w:tcBorders>
              <w:top w:val="single" w:sz="12" w:space="0" w:color="000000"/>
              <w:left w:val="single" w:sz="6"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69" w:type="dxa"/>
            <w:gridSpan w:val="2"/>
            <w:tcBorders>
              <w:top w:val="single" w:sz="12" w:space="0" w:color="000000"/>
              <w:left w:val="single" w:sz="6" w:space="0" w:color="000000"/>
              <w:bottom w:val="single" w:sz="12" w:space="0" w:color="000000"/>
              <w:right w:val="single" w:sz="12" w:space="0" w:color="000000"/>
            </w:tcBorders>
            <w:shd w:color="D8D8D8" w:fill="D8D8D8" w:val="clear"/>
            <w:tcMar>
              <w:left w:w="0" w:type="dxa"/>
              <w:right w:w="0" w:type="dxa"/>
            </w:tcM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300" w:hRule="atLeast"/>
        </w:trPr>
        <w:tc>
          <w:tcPr>
            <w:tcW w:w="2249" w:type="dxa"/>
            <w:tcBorders>
              <w:top w:val="single" w:sz="12" w:space="0" w:color="000000"/>
              <w:left w:val="single" w:sz="12" w:space="0" w:color="000000"/>
              <w:bottom w:val="single" w:sz="12" w:space="0" w:color="000000"/>
              <w:right w:val="single" w:sz="6" w:space="0" w:color="000000"/>
            </w:tcBorders>
            <w:shd w:color="D8D8D8" w:fill="D8D8D8" w:val="clear"/>
            <w:tcMar>
              <w:left w:w="0" w:type="dxa"/>
              <w:right w:w="0" w:type="dxa"/>
            </w:tcMar>
            <w:vAlign w:val="center"/>
          </w:tcPr>
          <w:p>
            <w:pPr>
              <w:pStyle w:val="Normal"/>
              <w:spacing w:before="0" w:after="160"/>
              <w:jc w:val="center"/>
              <w:rPr/>
            </w:pPr>
            <w:r>
              <w:rPr/>
            </w:r>
          </w:p>
        </w:tc>
        <w:tc>
          <w:tcPr>
            <w:tcW w:w="946" w:type="dxa"/>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0</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verificata l’esclusione dall’intervento delle caldaie a gas ?</w:t>
            </w:r>
          </w:p>
        </w:tc>
        <w:tc>
          <w:tcPr>
            <w:tcW w:w="2294" w:type="dxa"/>
            <w:gridSpan w:val="6"/>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r>
      <w:tr>
        <w:trPr>
          <w:trHeight w:val="2935" w:hRule="atLeast"/>
        </w:trPr>
        <w:tc>
          <w:tcPr>
            <w:tcW w:w="2249" w:type="dxa"/>
            <w:vMerge w:val="restart"/>
            <w:tcBorders>
              <w:top w:val="single" w:sz="12" w:space="0" w:color="000000"/>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6" w:type="dxa"/>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9" w:type="dxa"/>
            <w:gridSpan w:val="3"/>
            <w:tcBorders>
              <w:top w:val="single" w:sz="12" w:space="0" w:color="000000"/>
              <w:left w:val="single" w:sz="6" w:space="0" w:color="000000"/>
              <w:bottom w:val="single" w:sz="6" w:space="0" w:color="000000"/>
              <w:right w:val="nil"/>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L'edificio non è adibito all'estrazione, allo stoccaggio, al trasporto o alla produzione di combustibili fossili?</w:t>
              <w:br/>
              <w:t>Non sono ammessi edifici ad uso produttivo o similari destinati a:</w:t>
              <w:br/>
              <w:t>•estrazione, lo stoccaggio, il trasporto o la produzione di combustibili fossili, compreso l'uso a valle</w:t>
            </w:r>
            <w:r>
              <w:rPr>
                <w:rFonts w:eastAsia="Calibri" w:cs="Calibri"/>
                <w:b w:val="false"/>
                <w:i w:val="false"/>
                <w:strike w:val="false"/>
                <w:dstrike w:val="false"/>
                <w:color w:val="000000"/>
                <w:sz w:val="22"/>
                <w:u w:val="none"/>
                <w:vertAlign w:val="superscript"/>
              </w:rPr>
              <w:t>1</w:t>
            </w:r>
            <w:r>
              <w:rPr>
                <w:rFonts w:eastAsia="Calibri" w:cs="Calibri"/>
                <w:b w:val="false"/>
                <w:i w:val="false"/>
                <w:strike w:val="false"/>
                <w:dstrike w:val="false"/>
                <w:color w:val="000000"/>
                <w:position w:val="0"/>
                <w:sz w:val="22"/>
                <w:sz w:val="22"/>
                <w:u w:val="none"/>
                <w:vertAlign w:val="baseline"/>
              </w:rPr>
              <w:t xml:space="preserve"> ; </w:t>
              <w:br/>
              <w:t>•attività nell'ambito del sistema di scambio di quote di emissione dell'UE (ETS) che generano emissioni di gas a effetto serra previste non inferiori ai pertinenti parametri di riferimento</w:t>
            </w:r>
            <w:r>
              <w:rPr>
                <w:rFonts w:eastAsia="Calibri" w:cs="Calibri"/>
                <w:b w:val="false"/>
                <w:i w:val="false"/>
                <w:strike w:val="false"/>
                <w:dstrike w:val="false"/>
                <w:color w:val="000000"/>
                <w:sz w:val="22"/>
                <w:u w:val="none"/>
                <w:vertAlign w:val="superscript"/>
              </w:rPr>
              <w:t>2</w:t>
            </w:r>
            <w:r>
              <w:rPr>
                <w:rFonts w:eastAsia="Calibri" w:cs="Calibri"/>
                <w:b w:val="false"/>
                <w:i w:val="false"/>
                <w:strike w:val="false"/>
                <w:dstrike w:val="false"/>
                <w:color w:val="000000"/>
                <w:position w:val="0"/>
                <w:sz w:val="22"/>
                <w:sz w:val="22"/>
                <w:u w:val="none"/>
                <w:vertAlign w:val="baseline"/>
              </w:rPr>
              <w:t xml:space="preserve"> ; </w:t>
              <w:br/>
              <w:t>•attività connesse alle discariche di rifiuti, agli inceneritori</w:t>
            </w:r>
            <w:r>
              <w:rPr>
                <w:rFonts w:eastAsia="Calibri" w:cs="Calibri"/>
                <w:b w:val="false"/>
                <w:i w:val="false"/>
                <w:strike w:val="false"/>
                <w:dstrike w:val="false"/>
                <w:color w:val="000000"/>
                <w:sz w:val="22"/>
                <w:u w:val="none"/>
                <w:vertAlign w:val="superscript"/>
              </w:rPr>
              <w:t>3</w:t>
            </w:r>
            <w:r>
              <w:rPr>
                <w:rFonts w:eastAsia="Calibri" w:cs="Calibri"/>
                <w:b w:val="false"/>
                <w:i w:val="false"/>
                <w:strike w:val="false"/>
                <w:dstrike w:val="false"/>
                <w:color w:val="000000"/>
                <w:position w:val="0"/>
                <w:sz w:val="22"/>
                <w:sz w:val="22"/>
                <w:u w:val="none"/>
                <w:vertAlign w:val="baseline"/>
              </w:rPr>
              <w:t xml:space="preserve">  e agli impianti di trattamento meccanico biologico</w:t>
            </w:r>
            <w:r>
              <w:rPr>
                <w:rFonts w:eastAsia="Calibri" w:cs="Calibri"/>
                <w:b w:val="false"/>
                <w:i w:val="false"/>
                <w:strike w:val="false"/>
                <w:dstrike w:val="false"/>
                <w:color w:val="000000"/>
                <w:sz w:val="22"/>
                <w:u w:val="none"/>
                <w:vertAlign w:val="superscript"/>
              </w:rPr>
              <w:t>4</w:t>
            </w:r>
          </w:p>
        </w:tc>
        <w:tc>
          <w:tcPr>
            <w:tcW w:w="2294" w:type="dxa"/>
            <w:gridSpan w:val="6"/>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12"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state adottate le necessarie soluzioni in grado di garantire il raggiungimento dei requisiti di efficienza energetica comprovati dalla Relazione Tecnica?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report di analisi dell’adattabilità in conformità alle linee guida dell'Appendice A del Regolamento Delegato 2021/2139 (riportate all'appendice 1 della Guida Operativa)?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17308" w:type="dxa"/>
            <w:gridSpan w:val="12"/>
            <w:tcBorders>
              <w:top w:val="single" w:sz="6" w:space="0" w:color="000000"/>
              <w:left w:val="single" w:sz="6"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opere che superano la soglia dei 10 milioni di euro, rispondere al posto del punto 3 al punto 3.1</w:t>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3.1</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effettuata una valutazione di vulnerabilità e del rischio per il clima in base agli Orientamenti sulla verifica climatica delle infrastrutture 2021-2027?</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685"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17308" w:type="dxa"/>
            <w:gridSpan w:val="12"/>
            <w:tcBorders>
              <w:top w:val="single" w:sz="6" w:space="0" w:color="000000"/>
              <w:left w:val="single" w:sz="6"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progetti pubblici, il rispetto dei Criteri Ambientali Minimi (CAM) per l'edilizia approvati con DM 23 giugno 2022 n. 256, GURI n. 183 del 6 agosto 2022, assolve dal rispetto dei vicoli 4,5,6,7,8,e 9. Sarà pertanto sufficiente disporre delle prove di verifica nella fase ex-post. Nel caso in cui il rispetto dei CAM non fosse obbligatorio, si prega di verificare tutti i punti successivi:</w:t>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l'utilizzo di impianti idrico sanitari conformi alle specifiche tecniche e agli standard riportati?</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Piano di gestione rifiuti che considera i requisiti necessari specificati nella scheda?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Il progetto prevede il rispetto dei criteri di disassemblaggio e fine vita specificati nella scheda tecnica?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disponibili le schede tecniche dei materiali e sostanze impiegate?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presente un piano ambientale di cantierizzazione?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196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E' stata condotta una verifica dei consumi di legno con definizione delle previste condizioni di impiego (certificazione FSC/PEFC o altra certificazione equivalente di prodotto rilasciata sotto accreditamento per il legno vergine, certificazione di prodotto rilasciata sotto accreditamento della provenienza da recupero/riutilizzo)? </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103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confermato che la localizzazione dell’opera non sia all’interno delle aree di divieto indicate nella scheda tecnica?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2590"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11</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gli edifici situati in aree sensibili sotto il profilo della biodiversità o in prossimità di esse, fermo restando le aree di divieto, è stata volta la verifica preliminare, mediante censimento floro-faunistico, dell’assenza di habitat di specie (flora e fauna) in pericolo elencate nella lista rossa europea o nella lista rossa dell'IUCN?</w:t>
              <w:br/>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895" w:hRule="atLeast"/>
        </w:trPr>
        <w:tc>
          <w:tcPr>
            <w:tcW w:w="2249" w:type="dxa"/>
            <w:vMerge w:val="continue"/>
            <w:tcBorders>
              <w:top w:val="nil"/>
              <w:left w:val="single" w:sz="12" w:space="0" w:color="000000"/>
              <w:bottom w:val="nil"/>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12</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bottom"/>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gli interventi situati in siti della Rete Natura 2000, o in prossimità di essi, l'intervento è stato sottoposto a Valutazione di Incidenza (DPR 357/97)?</w:t>
              <w:br/>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90" w:hRule="atLeast"/>
        </w:trPr>
        <w:tc>
          <w:tcPr>
            <w:tcW w:w="2249" w:type="dxa"/>
            <w:vMerge w:val="continue"/>
            <w:tcBorders>
              <w:top w:val="nil"/>
              <w:left w:val="single" w:sz="12" w:space="0" w:color="000000"/>
              <w:bottom w:val="single" w:sz="12"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13</w:t>
            </w:r>
          </w:p>
        </w:tc>
        <w:tc>
          <w:tcPr>
            <w:tcW w:w="10199" w:type="dxa"/>
            <w:gridSpan w:val="3"/>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aree naturali protette (quali ad esempio parchi nazionali, parchi interregionali, parchi regionali, aree marine protette etc.…) , è stato rilasciato il nulla osta degli enti competenti?</w:t>
            </w:r>
          </w:p>
        </w:tc>
        <w:tc>
          <w:tcPr>
            <w:tcW w:w="2294" w:type="dxa"/>
            <w:gridSpan w:val="6"/>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12"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restart"/>
            <w:tcBorders>
              <w:top w:val="single" w:sz="12"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Ex-post</w:t>
            </w:r>
          </w:p>
        </w:tc>
        <w:tc>
          <w:tcPr>
            <w:tcW w:w="946" w:type="dxa"/>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14</w:t>
            </w:r>
          </w:p>
        </w:tc>
        <w:tc>
          <w:tcPr>
            <w:tcW w:w="10199" w:type="dxa"/>
            <w:gridSpan w:val="3"/>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l'attestazione di prestazione energetica (APE) rilasciata da soggetto abilitato con la quale certificare la classificazione di edificio ad energia quasi zero?</w:t>
            </w:r>
          </w:p>
        </w:tc>
        <w:tc>
          <w:tcPr>
            <w:tcW w:w="2294" w:type="dxa"/>
            <w:gridSpan w:val="6"/>
            <w:tcBorders>
              <w:top w:val="single" w:sz="12"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12"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15</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presente un'asseverazione di soggetto abilitato attestante che l’indice di prestazione energetica globale non rinnovabile (EPgl,tot) dell’edificio è almeno del 20 % inferiore alla soglia fissata per i requisiti degli edifici a energia quasi zero (NZEB, Nearly Zero-Energy Building)?</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16</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pertinente, sono state adottate le soluzioni di adattabilità definite a seguito della analisi dell’adattabilità o della  valutazione di vulnerabilità e del rischio per il clima realizzata?</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17308" w:type="dxa"/>
            <w:gridSpan w:val="12"/>
            <w:tcBorders>
              <w:top w:val="single" w:sz="6" w:space="0" w:color="000000"/>
              <w:left w:val="single" w:sz="6"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progetti pubblici, il rispetto dei Criteri Ambientali Minimi (CAM) per l'edilizia approvati con DM 23 giugno 2022 n. 256, GURI n. 183 del 6 agosto 2022, assolve dal rispetto dei vicoli 17, 18, 19, 20 e 21. Sarà pertanto sufficiente disporre delle prove di verifica nella fase ex-post</w:t>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17</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disponibili delle schede di prodotto per gli impianti idrico sanitari che indichino il rispetto delle specifiche tecniche e degli standard riportati?</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18</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relazione finale con l’indicazione dei rifiuti prodotti, da cui emerga la destinazione ad una operazione “R” del 70% in peso dei rifiuti da demolizione e costruzione?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19</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le schede tecniche dei materiali e sostanze impiegate?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20</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le certificazioni FSC/PEFC o altra certificazione equivalente per l'80% del legno vergine?</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6"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21</w:t>
            </w:r>
          </w:p>
        </w:tc>
        <w:tc>
          <w:tcPr>
            <w:tcW w:w="10199" w:type="dxa"/>
            <w:gridSpan w:val="3"/>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le schede tecniche del materiale (legno) impiegato (da riutilizzo/riciclo)?</w:t>
            </w:r>
          </w:p>
        </w:tc>
        <w:tc>
          <w:tcPr>
            <w:tcW w:w="2294" w:type="dxa"/>
            <w:gridSpan w:val="6"/>
            <w:tcBorders>
              <w:top w:val="single" w:sz="6" w:space="0" w:color="000000"/>
              <w:left w:val="single" w:sz="6" w:space="0" w:color="000000"/>
              <w:bottom w:val="single" w:sz="6"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6"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49" w:type="dxa"/>
            <w:vMerge w:val="continue"/>
            <w:tcBorders>
              <w:top w:val="single" w:sz="6" w:space="0" w:color="000000"/>
              <w:left w:val="single" w:sz="12" w:space="0" w:color="000000"/>
              <w:bottom w:val="single" w:sz="12" w:space="0" w:color="000000"/>
              <w:right w:val="single" w:sz="6" w:space="0" w:color="000000"/>
            </w:tcBorders>
            <w:shd w:color="EEECE1" w:fill="EEECE1" w:val="clear"/>
            <w:tcMar>
              <w:left w:w="0" w:type="dxa"/>
              <w:right w:w="0" w:type="dxa"/>
            </w:tcM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22</w:t>
            </w:r>
          </w:p>
        </w:tc>
        <w:tc>
          <w:tcPr>
            <w:tcW w:w="10199" w:type="dxa"/>
            <w:gridSpan w:val="3"/>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pertinente, è disponibile l'indicazione dell'adozione delle azioni mitigative previste dalla VIncA?</w:t>
            </w:r>
          </w:p>
        </w:tc>
        <w:tc>
          <w:tcPr>
            <w:tcW w:w="2294" w:type="dxa"/>
            <w:gridSpan w:val="6"/>
            <w:tcBorders>
              <w:top w:val="single" w:sz="6" w:space="0" w:color="000000"/>
              <w:left w:val="single" w:sz="6" w:space="0" w:color="000000"/>
              <w:bottom w:val="single" w:sz="12" w:space="0" w:color="000000"/>
              <w:right w:val="single" w:sz="6" w:space="0" w:color="000000"/>
            </w:tcBorders>
            <w:tcMar>
              <w:left w:w="0" w:type="dxa"/>
              <w:right w:w="0" w:type="dxa"/>
            </w:tcMar>
            <w:vAlign w:val="center"/>
          </w:tcPr>
          <w:p>
            <w:pPr>
              <w:pStyle w:val="Normal"/>
              <w:spacing w:before="0" w:after="160"/>
              <w:jc w:val="center"/>
              <w:rPr/>
            </w:pPr>
            <w:r>
              <w:rPr/>
            </w:r>
          </w:p>
        </w:tc>
        <w:tc>
          <w:tcPr>
            <w:tcW w:w="3869" w:type="dxa"/>
            <w:gridSpan w:val="2"/>
            <w:tcBorders>
              <w:top w:val="single" w:sz="6" w:space="0" w:color="000000"/>
              <w:left w:val="single" w:sz="6" w:space="0" w:color="000000"/>
              <w:bottom w:val="single" w:sz="12" w:space="0" w:color="000000"/>
              <w:right w:val="single" w:sz="12" w:space="0" w:color="000000"/>
            </w:tcBorders>
            <w:tcMar>
              <w:left w:w="0" w:type="dxa"/>
              <w:right w:w="0" w:type="dxa"/>
            </w:tcMar>
            <w:vAlign w:val="bottom"/>
          </w:tcPr>
          <w:p>
            <w:pPr>
              <w:pStyle w:val="Normal"/>
              <w:widowControl/>
              <w:bidi w:val="0"/>
              <w:spacing w:lineRule="auto" w:line="259" w:beforeAutospacing="0" w:before="0" w:afterAutospacing="0" w:after="160"/>
              <w:jc w:val="left"/>
              <w:rPr/>
            </w:pPr>
            <w:r>
              <w:rPr/>
            </w:r>
          </w:p>
        </w:tc>
      </w:tr>
    </w:tbl>
    <w:p>
      <w:pPr>
        <w:pStyle w:val="Normal"/>
        <w:spacing w:lineRule="auto" w:line="240" w:before="0" w:after="0"/>
        <w:ind w:left="1134" w:hanging="1134"/>
        <w:rPr>
          <w:rFonts w:eastAsia="Times New Roman" w:cs="Calibri"/>
          <w:lang w:eastAsia="it-IT"/>
        </w:rPr>
      </w:pPr>
      <w:r>
        <w:rPr>
          <w:rFonts w:eastAsia="Times New Roman" w:cs="Calibri"/>
          <w:lang w:eastAsia="it-IT"/>
        </w:rPr>
      </w:r>
    </w:p>
    <w:tbl>
      <w:tblPr>
        <w:tblStyle w:val="709"/>
        <w:tblW w:w="19559" w:type="dxa"/>
        <w:jc w:val="left"/>
        <w:tblInd w:w="-108" w:type="dxa"/>
        <w:tblCellMar>
          <w:top w:w="0" w:type="dxa"/>
          <w:left w:w="0" w:type="dxa"/>
          <w:bottom w:w="0" w:type="dxa"/>
          <w:right w:w="0" w:type="dxa"/>
        </w:tblCellMar>
        <w:tblLook w:firstRow="1" w:noVBand="1" w:lastRow="0" w:firstColumn="1" w:lastColumn="0" w:noHBand="0" w:val="04a0"/>
      </w:tblPr>
      <w:tblGrid>
        <w:gridCol w:w="19559"/>
      </w:tblGrid>
      <w:tr>
        <w:trPr>
          <w:trHeight w:val="290" w:hRule="atLeast"/>
        </w:trPr>
        <w:tc>
          <w:tcPr>
            <w:tcW w:w="19559" w:type="dxa"/>
            <w:tcBorders>
              <w:top w:val="single" w:sz="12" w:space="0" w:color="000000"/>
              <w:left w:val="single" w:sz="12" w:space="0" w:color="000000"/>
              <w:bottom w:val="nil"/>
              <w:right w:val="nil"/>
            </w:tcBorders>
            <w:vAlign w:val="center"/>
          </w:tcPr>
          <w:p>
            <w:pPr>
              <w:pStyle w:val="Normal"/>
              <w:spacing w:before="0" w:after="160"/>
              <w:jc w:val="left"/>
              <w:rPr/>
            </w:pPr>
            <w:r>
              <w:rPr>
                <w:rFonts w:eastAsia="Calibri" w:cs="Calibri"/>
                <w:b w:val="false"/>
                <w:i w:val="false"/>
                <w:strike w:val="false"/>
                <w:dstrike w:val="false"/>
                <w:color w:val="000000"/>
                <w:sz w:val="22"/>
                <w:u w:val="none"/>
                <w:vertAlign w:val="superscript"/>
              </w:rPr>
              <w:t xml:space="preserve">1 </w:t>
            </w:r>
            <w:r>
              <w:rPr>
                <w:rFonts w:eastAsia="Calibri" w:cs="Calibri"/>
                <w:b w:val="false"/>
                <w:i w:val="false"/>
                <w:strike w:val="false"/>
                <w:dstrike w:val="false"/>
                <w:color w:val="000000"/>
                <w:position w:val="0"/>
                <w:sz w:val="22"/>
                <w:sz w:val="22"/>
                <w:u w:val="none"/>
                <w:vertAlign w:val="baseline"/>
              </w:rPr>
              <w:t>Ad eccezione dei progetti previsti nell’ambito della presente misura riguardanti la produzione di energia elettrica e/o di calore a partire dal gas naturale, come pure le relative infrastrutture di trasmissione/trasporto e distribuzione che utilizzano gas naturale, che sono conformi alle condizioni di cui all’allegato III degli orientamenti tecnici sull’applicazione del principio “non arrecare un danno significativo” (2021/C58/01).</w:t>
              <w:br/>
              <w:br/>
            </w:r>
            <w:r>
              <w:rPr>
                <w:rFonts w:eastAsia="Calibri" w:cs="Calibri"/>
                <w:b w:val="false"/>
                <w:i w:val="false"/>
                <w:strike w:val="false"/>
                <w:dstrike w:val="false"/>
                <w:color w:val="000000"/>
                <w:sz w:val="22"/>
                <w:u w:val="none"/>
                <w:vertAlign w:val="superscript"/>
              </w:rPr>
              <w:t xml:space="preserve">2 </w:t>
            </w:r>
            <w:r>
              <w:rPr>
                <w:rFonts w:eastAsia="Calibri" w:cs="Calibri"/>
                <w:b w:val="false"/>
                <w:i w:val="false"/>
                <w:strike w:val="false"/>
                <w:dstrike w:val="false"/>
                <w:color w:val="000000"/>
                <w:position w:val="0"/>
                <w:sz w:val="22"/>
                <w:sz w:val="22"/>
                <w:u w:val="none"/>
                <w:vertAlign w:val="baseline"/>
              </w:rPr>
              <w:t>Se l’attività che beneficia del sostegno genera emissioni di gas a effetto serra previste che non sono significativamente inferiori ai pertinenti parametri di riferimento, occorre spiegarne il motivo. I parametri di riferimento per l’assegnazione gratuita di quote per le attività che rientrano nell’ambito di applicazione del sistema di scambio di quote di emissioni sono stabiliti nel regolamento di esecuzione (UE) 2021/447 della Commissione.</w:t>
              <w:br/>
              <w:br/>
            </w:r>
            <w:r>
              <w:rPr>
                <w:rFonts w:eastAsia="Calibri" w:cs="Calibri"/>
                <w:b w:val="false"/>
                <w:i w:val="false"/>
                <w:strike w:val="false"/>
                <w:dstrike w:val="false"/>
                <w:color w:val="000000"/>
                <w:sz w:val="22"/>
                <w:u w:val="none"/>
                <w:vertAlign w:val="superscript"/>
              </w:rPr>
              <w:t xml:space="preserve">3 </w:t>
            </w:r>
            <w:r>
              <w:rPr>
                <w:rFonts w:eastAsia="Calibri" w:cs="Calibri"/>
                <w:b w:val="false"/>
                <w:i w:val="false"/>
                <w:strike w:val="false"/>
                <w:dstrike w:val="false"/>
                <w:color w:val="000000"/>
                <w:position w:val="0"/>
                <w:sz w:val="22"/>
                <w:sz w:val="22"/>
                <w:u w:val="none"/>
                <w:vertAlign w:val="baseline"/>
              </w:rPr>
              <w:t>L’esclusione non si applica alle azioni previste dalla presente misura negli impianti di trattamento meccanico biologico esistenti quando tali azioni sono intese ad aumentare l’efficienza energetica o migliorare le operazioni di riciclaggio dei rifiuti differenziati al fine di convertirle nel compostaggio e nella digestione anaerobica di rifiuti organici, purché tali azioni nell’ambito della presente misura non determinino un aumento della capacità di trattamento dei rifiuti dell’impianto o un’estensione della sua durata di vita; sono fornite prove a livello di impianto.</w:t>
              <w:br/>
              <w:br/>
            </w:r>
            <w:r>
              <w:rPr>
                <w:rFonts w:eastAsia="Calibri" w:cs="Calibri"/>
                <w:b w:val="false"/>
                <w:i w:val="false"/>
                <w:strike w:val="false"/>
                <w:dstrike w:val="false"/>
                <w:color w:val="000000"/>
                <w:sz w:val="22"/>
                <w:u w:val="none"/>
                <w:vertAlign w:val="superscript"/>
              </w:rPr>
              <w:t xml:space="preserve">4 </w:t>
            </w:r>
            <w:r>
              <w:rPr>
                <w:rFonts w:eastAsia="Calibri" w:cs="Calibri"/>
                <w:b w:val="false"/>
                <w:i w:val="false"/>
                <w:strike w:val="false"/>
                <w:dstrike w:val="false"/>
                <w:color w:val="000000"/>
                <w:position w:val="0"/>
                <w:sz w:val="22"/>
                <w:sz w:val="22"/>
                <w:u w:val="none"/>
                <w:vertAlign w:val="baseline"/>
              </w:rPr>
              <w:t>L’esclusione non si applica alle azioni previste nell’ambito della presente misura in impianti esclusivamente adibiti al trattamento di rifiuti pericolosi non riciclabili, né agli impianti esistenti quando tali azioni sono intese ad aumentare l’efficienza energetica, catturare i gas di scarico per lo stoccaggio o l’utilizzo, o recuperare i materiali da residui di combustione, purché tali azioni nell’ambito della presente misura non determinino un aumento della capacità di trattamento dei rifiuti dell’impianto o un’estensione della sua durata di vita; sono fornite prove a livello di impianto.</w:t>
            </w:r>
          </w:p>
        </w:tc>
      </w:tr>
    </w:tbl>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p>
      <w:pPr>
        <w:pStyle w:val="Normal"/>
        <w:spacing w:lineRule="auto" w:line="240" w:before="0" w:after="0"/>
        <w:ind w:left="1134" w:hanging="1134"/>
        <w:rPr>
          <w:rFonts w:eastAsia="Times New Roman" w:cs="Calibri"/>
          <w:lang w:eastAsia="it-IT"/>
        </w:rPr>
      </w:pPr>
      <w:r>
        <w:rPr>
          <w:rFonts w:eastAsia="Times New Roman" w:cs="Calibri"/>
          <w:lang w:eastAsia="it-IT"/>
        </w:rPr>
      </w:r>
    </w:p>
    <w:tbl>
      <w:tblPr>
        <w:tblW w:w="9566" w:type="dxa"/>
        <w:jc w:val="left"/>
        <w:tblInd w:w="70" w:type="dxa"/>
        <w:tblCellMar>
          <w:top w:w="0" w:type="dxa"/>
          <w:left w:w="70" w:type="dxa"/>
          <w:bottom w:w="0" w:type="dxa"/>
          <w:right w:w="70" w:type="dxa"/>
        </w:tblCellMar>
        <w:tblLook w:firstRow="1" w:noVBand="1" w:lastRow="0" w:firstColumn="1" w:lastColumn="0" w:noHBand="0" w:val="04a0"/>
      </w:tblPr>
      <w:tblGrid>
        <w:gridCol w:w="2046"/>
        <w:gridCol w:w="1282"/>
        <w:gridCol w:w="3521"/>
        <w:gridCol w:w="146"/>
        <w:gridCol w:w="146"/>
        <w:gridCol w:w="149"/>
        <w:gridCol w:w="232"/>
        <w:gridCol w:w="722"/>
        <w:gridCol w:w="1321"/>
      </w:tblGrid>
      <w:tr>
        <w:trPr>
          <w:trHeight w:val="372" w:hRule="atLeast"/>
        </w:trPr>
        <w:tc>
          <w:tcPr>
            <w:tcW w:w="9565" w:type="dxa"/>
            <w:gridSpan w:val="9"/>
            <w:tcBorders>
              <w:top w:val="single" w:sz="8" w:space="0" w:color="000000"/>
              <w:left w:val="single" w:sz="8" w:space="0" w:color="000000"/>
              <w:bottom w:val="single" w:sz="8" w:space="0" w:color="000000"/>
              <w:right w:val="single" w:sz="8" w:space="0" w:color="000000"/>
            </w:tcBorders>
            <w:shd w:color="000000" w:fill="FBE4D5" w:val="clear"/>
            <w:vAlign w:val="bottom"/>
          </w:tcPr>
          <w:p>
            <w:pPr>
              <w:pStyle w:val="Normal"/>
              <w:spacing w:lineRule="auto" w:line="240" w:before="0" w:after="0"/>
              <w:jc w:val="center"/>
              <w:rPr>
                <w:rFonts w:eastAsia="Times New Roman" w:cs="Calibri"/>
                <w:b/>
                <w:b/>
                <w:bCs/>
                <w:i/>
                <w:i/>
                <w:iCs/>
                <w:color w:val="000000"/>
                <w:sz w:val="28"/>
                <w:szCs w:val="28"/>
                <w:lang w:eastAsia="it-IT"/>
              </w:rPr>
            </w:pPr>
            <w:r>
              <w:rPr>
                <w:rFonts w:eastAsia="Times New Roman" w:cs="Calibri"/>
                <w:b/>
                <w:bCs/>
                <w:i/>
                <w:iCs/>
                <w:color w:val="000000"/>
                <w:sz w:val="28"/>
                <w:szCs w:val="28"/>
                <w:lang w:eastAsia="it-IT"/>
              </w:rPr>
              <w:t xml:space="preserve">Scheda 2  - Ristrutturazioni e riqualificazioni di edifici residenziali e non residenziali                                                                                      </w:t>
            </w:r>
          </w:p>
        </w:tc>
      </w:tr>
      <w:tr>
        <w:trPr>
          <w:trHeight w:val="31" w:hRule="atLeast"/>
        </w:trPr>
        <w:tc>
          <w:tcPr>
            <w:tcW w:w="9565" w:type="dxa"/>
            <w:gridSpan w:val="9"/>
            <w:tcBorders/>
            <w:shd w:color="auto" w:fill="auto" w:val="clear"/>
            <w:vAlign w:val="bottom"/>
          </w:tcPr>
          <w:p>
            <w:pPr>
              <w:pStyle w:val="Normal"/>
              <w:widowControl/>
              <w:bidi w:val="0"/>
              <w:spacing w:lineRule="auto" w:line="259" w:beforeAutospacing="0" w:before="0" w:afterAutospacing="0" w:after="160"/>
              <w:jc w:val="left"/>
              <w:rPr/>
            </w:pPr>
            <w:r>
              <w:rPr/>
            </w:r>
          </w:p>
        </w:tc>
      </w:tr>
      <w:tr>
        <w:trPr>
          <w:trHeight w:val="915" w:hRule="atLeast"/>
        </w:trPr>
        <w:tc>
          <w:tcPr>
            <w:tcW w:w="2046" w:type="dxa"/>
            <w:tcBorders>
              <w:top w:val="single" w:sz="8" w:space="0" w:color="000000"/>
              <w:left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Tempo di svolgimento delle verifiche</w:t>
            </w:r>
          </w:p>
        </w:tc>
        <w:tc>
          <w:tcPr>
            <w:tcW w:w="1282" w:type="dxa"/>
            <w:tcBorders>
              <w:top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n.</w:t>
            </w:r>
          </w:p>
        </w:tc>
        <w:tc>
          <w:tcPr>
            <w:tcW w:w="3813" w:type="dxa"/>
            <w:gridSpan w:val="3"/>
            <w:tcBorders>
              <w:top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Elemento di controllo</w:t>
            </w:r>
          </w:p>
        </w:tc>
        <w:tc>
          <w:tcPr>
            <w:tcW w:w="1103" w:type="dxa"/>
            <w:gridSpan w:val="3"/>
            <w:tcBorders>
              <w:top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Esito</w:t>
              <w:br/>
              <w:t xml:space="preserve"> (Sì/No/Non applicabile)</w:t>
            </w:r>
          </w:p>
        </w:tc>
        <w:tc>
          <w:tcPr>
            <w:tcW w:w="1321" w:type="dxa"/>
            <w:tcBorders>
              <w:top w:val="single" w:sz="8" w:space="0" w:color="000000"/>
              <w:right w:val="single" w:sz="8" w:space="0" w:color="000000"/>
            </w:tcBorders>
            <w:shd w:color="000000" w:fill="D8D8D8" w:val="clear"/>
            <w:vAlign w:val="center"/>
          </w:tcPr>
          <w:p>
            <w:pPr>
              <w:pStyle w:val="Normal"/>
              <w:spacing w:lineRule="auto" w:line="240" w:before="0" w:after="0"/>
              <w:jc w:val="center"/>
              <w:rPr>
                <w:rFonts w:eastAsia="Times New Roman" w:cs="Calibri"/>
                <w:b/>
                <w:b/>
                <w:bCs/>
                <w:color w:val="000000"/>
                <w:sz w:val="20"/>
                <w:szCs w:val="20"/>
                <w:lang w:eastAsia="it-IT"/>
              </w:rPr>
            </w:pPr>
            <w:r>
              <w:rPr>
                <w:rFonts w:eastAsia="Times New Roman" w:cs="Calibri"/>
                <w:b/>
                <w:bCs/>
                <w:color w:val="000000"/>
                <w:sz w:val="20"/>
                <w:szCs w:val="20"/>
                <w:lang w:eastAsia="it-IT"/>
              </w:rPr>
              <w:t>Commento</w:t>
            </w:r>
          </w:p>
        </w:tc>
      </w:tr>
      <w:tr>
        <w:trPr>
          <w:trHeight w:val="315" w:hRule="atLeast"/>
        </w:trPr>
        <w:tc>
          <w:tcPr>
            <w:tcW w:w="2046" w:type="dxa"/>
            <w:tcBorders>
              <w:top w:val="single" w:sz="8" w:space="0" w:color="000000"/>
              <w:left w:val="single" w:sz="8" w:space="0" w:color="000000"/>
              <w:right w:val="single" w:sz="4" w:space="0" w:color="000000"/>
            </w:tcBorders>
            <w:shd w:color="000000" w:fill="D8D8D8" w:val="clear"/>
            <w:vAlign w:val="center"/>
          </w:tcPr>
          <w:p>
            <w:pPr>
              <w:pStyle w:val="Normal"/>
              <w:spacing w:lineRule="auto" w:line="240" w:before="0" w:after="0"/>
              <w:jc w:val="center"/>
              <w:rPr>
                <w:rFonts w:eastAsia="Times New Roman" w:cs="Calibri"/>
                <w:b/>
                <w:b/>
                <w:bCs/>
                <w:color w:val="000000"/>
                <w:lang w:eastAsia="it-IT"/>
              </w:rPr>
            </w:pPr>
            <w:r>
              <w:rPr>
                <w:rFonts w:eastAsia="Times New Roman" w:cs="Calibri"/>
                <w:b/>
                <w:bCs/>
                <w:color w:val="000000"/>
                <w:lang w:eastAsia="it-IT"/>
              </w:rPr>
              <w:t> </w:t>
            </w:r>
          </w:p>
        </w:tc>
        <w:tc>
          <w:tcPr>
            <w:tcW w:w="1282" w:type="dxa"/>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0</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verificata l’esclusione dall’intervento delle caldaie a gas ?</w:t>
            </w:r>
            <w:r>
              <w:rPr>
                <w:rFonts w:eastAsia="Times New Roman" w:cs="Calibri"/>
                <w:color w:val="000000"/>
                <w:sz w:val="18"/>
                <w:szCs w:val="18"/>
                <w:vertAlign w:val="superscript"/>
                <w:lang w:eastAsia="it-IT"/>
              </w:rPr>
              <w:t>1</w:t>
            </w:r>
          </w:p>
        </w:tc>
        <w:tc>
          <w:tcPr>
            <w:tcW w:w="110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8" w:space="0" w:color="000000"/>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2190" w:hRule="atLeast"/>
        </w:trPr>
        <w:tc>
          <w:tcPr>
            <w:tcW w:w="2046" w:type="dxa"/>
            <w:vMerge w:val="restart"/>
            <w:tcBorders>
              <w:top w:val="single" w:sz="8" w:space="0" w:color="000000"/>
              <w:left w:val="single" w:sz="8" w:space="0" w:color="000000"/>
              <w:bottom w:val="single" w:sz="8" w:space="0" w:color="000000"/>
              <w:right w:val="single" w:sz="4" w:space="0" w:color="000000"/>
            </w:tcBorders>
            <w:shd w:color="000000" w:fill="E7E6E6" w:val="clear"/>
            <w:vAlign w:val="center"/>
          </w:tcPr>
          <w:p>
            <w:pPr>
              <w:pStyle w:val="Normal"/>
              <w:spacing w:lineRule="auto" w:line="240" w:before="0" w:after="0"/>
              <w:jc w:val="center"/>
              <w:rPr>
                <w:rFonts w:eastAsia="Times New Roman" w:cs="Calibri"/>
                <w:b/>
                <w:b/>
                <w:color w:val="000000"/>
                <w:lang w:eastAsia="it-IT"/>
              </w:rPr>
            </w:pPr>
            <w:r>
              <w:rPr>
                <w:rFonts w:eastAsia="Times New Roman" w:cs="Calibri"/>
                <w:b/>
                <w:color w:val="000000"/>
                <w:lang w:eastAsia="it-IT"/>
              </w:rPr>
              <w:t>Ex-ante</w:t>
            </w:r>
          </w:p>
        </w:tc>
        <w:tc>
          <w:tcPr>
            <w:tcW w:w="1282" w:type="dxa"/>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0.1</w:t>
            </w:r>
          </w:p>
        </w:tc>
        <w:tc>
          <w:tcPr>
            <w:tcW w:w="381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L'edificio non è adibito all'estrazione, allo stoccaggio, al trasporto o alla produzione di combustibili fossili?</w:t>
              <w:br/>
              <w:t>Non sono ammessi edifici ad uso produttivo o similari destinati a:</w:t>
              <w:br/>
              <w:t>• estrazione, lo stoccaggio, il trasporto o la produzione di combustibili fossili, compreso l'uso a valle</w:t>
            </w:r>
            <w:r>
              <w:rPr>
                <w:rFonts w:eastAsia="Times New Roman" w:cs="Calibri"/>
                <w:color w:val="000000"/>
                <w:sz w:val="18"/>
                <w:szCs w:val="18"/>
                <w:vertAlign w:val="superscript"/>
                <w:lang w:eastAsia="it-IT"/>
              </w:rPr>
              <w:t>2</w:t>
            </w:r>
            <w:r>
              <w:rPr>
                <w:rFonts w:eastAsia="Times New Roman" w:cs="Calibri"/>
                <w:color w:val="000000"/>
                <w:sz w:val="18"/>
                <w:szCs w:val="18"/>
                <w:lang w:eastAsia="it-IT"/>
              </w:rPr>
              <w:t xml:space="preserve"> ; </w:t>
              <w:br/>
              <w:t>• attività nell'ambito del sistema di scambio di quote di emissione dell'UE (ETS) che generano emissioni di gas a effetto serra previste non inferiori ai pertinenti parametri di riferimento</w:t>
            </w:r>
            <w:r>
              <w:rPr>
                <w:rFonts w:eastAsia="Times New Roman" w:cs="Calibri"/>
                <w:color w:val="000000"/>
                <w:sz w:val="18"/>
                <w:szCs w:val="18"/>
                <w:vertAlign w:val="superscript"/>
                <w:lang w:eastAsia="it-IT"/>
              </w:rPr>
              <w:t>3</w:t>
            </w:r>
            <w:r>
              <w:rPr>
                <w:rFonts w:eastAsia="Times New Roman" w:cs="Calibri"/>
                <w:color w:val="000000"/>
                <w:sz w:val="18"/>
                <w:szCs w:val="18"/>
                <w:lang w:eastAsia="it-IT"/>
              </w:rPr>
              <w:t xml:space="preserve"> ; </w:t>
              <w:br/>
              <w:t>• attività connesse alle discariche di rifiuti, agli inceneritori</w:t>
            </w:r>
            <w:r>
              <w:rPr>
                <w:rFonts w:eastAsia="Times New Roman" w:cs="Calibri"/>
                <w:color w:val="000000"/>
                <w:sz w:val="18"/>
                <w:szCs w:val="18"/>
                <w:vertAlign w:val="superscript"/>
                <w:lang w:eastAsia="it-IT"/>
              </w:rPr>
              <w:t>4</w:t>
            </w:r>
            <w:r>
              <w:rPr>
                <w:rFonts w:eastAsia="Times New Roman" w:cs="Calibri"/>
                <w:color w:val="000000"/>
                <w:sz w:val="18"/>
                <w:szCs w:val="18"/>
                <w:lang w:eastAsia="it-IT"/>
              </w:rPr>
              <w:t xml:space="preserve">  e agli impianti di trattamento meccanico biologico</w:t>
            </w:r>
            <w:r>
              <w:rPr>
                <w:rFonts w:eastAsia="Times New Roman" w:cs="Calibri"/>
                <w:color w:val="000000"/>
                <w:sz w:val="18"/>
                <w:szCs w:val="18"/>
                <w:vertAlign w:val="superscript"/>
                <w:lang w:eastAsia="it-IT"/>
              </w:rPr>
              <w:t>5</w:t>
            </w:r>
          </w:p>
        </w:tc>
        <w:tc>
          <w:tcPr>
            <w:tcW w:w="110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8" w:space="0" w:color="000000"/>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w:t>
            </w:r>
          </w:p>
        </w:tc>
        <w:tc>
          <w:tcPr>
            <w:tcW w:w="3813" w:type="dxa"/>
            <w:gridSpan w:val="3"/>
            <w:tcBorders>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Per le ristrutturazioni importanti (di primo o secondo livello), è disponibile la documentazione a supporto del rispetto dei requisiti definiti dal Decreto interministeriale 26 giugno 2015?</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auto" w:fill="auto"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riduzioni del fabbisogno di energia primaria di almeno il 30%, in alternativa al punto 1, rispondere al punto 1.1</w:t>
            </w:r>
          </w:p>
        </w:tc>
      </w:tr>
      <w:tr>
        <w:trPr>
          <w:trHeight w:val="665"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disponibile l'attestazione di prestazione energetica (APE) ex ante?</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675"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2</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svolta una simulazione dell’Ape ex post?</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 xml:space="preserve">Nel caso di misure individuali, non rispondere ai punti 1 e 2 ma rispondere dal punto 2.1 e 2.2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2.1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disponibile della documentazione che provi la realizzazione di un intervento riconducibile a quelli definiti come ammissibili per il regime 1?</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 </w:t>
            </w:r>
          </w:p>
        </w:tc>
        <w:tc>
          <w:tcPr>
            <w:tcW w:w="1321" w:type="dxa"/>
            <w:tcBorders>
              <w:bottom w:val="single" w:sz="4" w:space="0" w:color="000000"/>
              <w:right w:val="single" w:sz="8"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2.2</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Se applicabile alla misura individuale, è previsto che le componenti siano classificate nelle due classi di efficienza energetica più elevate, conformemente al regolamento (UE) 2017/1369 e agli atti delegati adottati a norma di detto regolamento?</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3</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stato redatto il report di analisi dell’adattabilità in conformità alle linee guida dell'Appendice A del Regolamento Delegato 2021/2139 (riportate all'appendice 1 della Guida Operativa)?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opere che superano la soglia dei 10 milioni di euro, rispondere al posto del punto 3 al punto 3.1</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3.1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rPr>
                <w:rFonts w:eastAsia="Times New Roman" w:cs="Calibri"/>
                <w:color w:val="000000"/>
                <w:sz w:val="18"/>
                <w:szCs w:val="18"/>
                <w:lang w:eastAsia="it-IT"/>
              </w:rPr>
            </w:pPr>
            <w:r>
              <w:rPr>
                <w:rFonts w:eastAsia="Times New Roman" w:cs="Calibri"/>
                <w:color w:val="000000"/>
                <w:sz w:val="18"/>
                <w:szCs w:val="18"/>
                <w:lang w:eastAsia="it-IT"/>
              </w:rPr>
              <w:t>E' stata effettuata una valutazione di vulnerabilità e del rischio per il clima in base agli Orientamenti sulla verifica climatica delle infrastrutture 2021-2027?</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progetti pubblici, il rispetto dei Criteri Ambientali Minimi (CAM) per l'edilizia approvati con DM 23 giugno 2022 n. 256, GURI n. 183 del 6 agosto 2022, assolve dal rispetto dei vicoli 4,5,6,7,8, 9 e 10. Sarà pertanto sufficiente disporre delle prove di verifica nella fase ex-post. Nel caso in cui il rispetto dei CAM non fosse obbligatorio, si prega di verificare tutti i punti successivi:</w:t>
            </w:r>
          </w:p>
        </w:tc>
      </w:tr>
      <w:tr>
        <w:trPr>
          <w:trHeight w:val="861"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4</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Se applicabile, è stato previsto l'utilizzo di impianti idrico sanitari conformi alle specifiche tecniche e agli standard riportati?</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817"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5</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stato redatto il Piano di gestione rifiuti che considera i requisiti necessari specificati nella scheda?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829"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6</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Il progetto prevede il rispetto dei criteri di disassemblaggio e fine vita  specificati nella scheda tecnica ?</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38"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7</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stato svolto il censimento Manufatti Contenenti Amianto (MCA)?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521"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8</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stato redatto il Piano Ambientale di Cantierizzazione (PAC)?</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9</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Sono state indicate le limitazioni delle caratteristiche di pericolo dei materiali che si prevede utilizzare (Art. 57, Regolamento CE 1907/2006, REACH)?</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1692" w:hRule="atLeast"/>
        </w:trPr>
        <w:tc>
          <w:tcPr>
            <w:tcW w:w="2046" w:type="dxa"/>
            <w:vMerge w:val="continue"/>
            <w:tcBorders>
              <w:top w:val="single" w:sz="8" w:space="0" w:color="000000"/>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10</w:t>
            </w:r>
          </w:p>
        </w:tc>
        <w:tc>
          <w:tcPr>
            <w:tcW w:w="3813" w:type="dxa"/>
            <w:gridSpan w:val="3"/>
            <w:tcBorders>
              <w:top w:val="single" w:sz="4" w:space="0" w:color="000000"/>
              <w:bottom w:val="single" w:sz="8"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Verifica dei consumi di legno con definizione delle previste condizioni di impiego (certificazione FSC/PEFC o altra certificazione equivalente di prodotto rilasciata sotto accreditamento per il legno vergine, certificazione di prodotto rilasciata sotto accreditamento della provenienza da recupero/riutilizzo)?</w:t>
            </w:r>
          </w:p>
        </w:tc>
        <w:tc>
          <w:tcPr>
            <w:tcW w:w="1103" w:type="dxa"/>
            <w:gridSpan w:val="3"/>
            <w:tcBorders>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8"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restart"/>
            <w:tcBorders>
              <w:left w:val="single" w:sz="8" w:space="0" w:color="000000"/>
              <w:bottom w:val="single" w:sz="8" w:space="0" w:color="000000"/>
              <w:right w:val="single" w:sz="4" w:space="0" w:color="000000"/>
            </w:tcBorders>
            <w:shd w:color="000000" w:fill="E7E6E6" w:val="clear"/>
            <w:vAlign w:val="center"/>
          </w:tcPr>
          <w:p>
            <w:pPr>
              <w:pStyle w:val="Normal"/>
              <w:spacing w:lineRule="auto" w:line="240" w:before="0" w:after="0"/>
              <w:jc w:val="center"/>
              <w:rPr>
                <w:rFonts w:eastAsia="Times New Roman" w:cs="Calibri"/>
                <w:b/>
                <w:b/>
                <w:color w:val="000000"/>
                <w:lang w:eastAsia="it-IT"/>
              </w:rPr>
            </w:pPr>
            <w:r>
              <w:rPr>
                <w:rFonts w:eastAsia="Times New Roman" w:cs="Calibri"/>
                <w:b/>
                <w:color w:val="000000"/>
                <w:lang w:eastAsia="it-IT"/>
              </w:rPr>
              <w:t>Ex-post</w:t>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11</w:t>
            </w:r>
          </w:p>
        </w:tc>
        <w:tc>
          <w:tcPr>
            <w:tcW w:w="3813" w:type="dxa"/>
            <w:gridSpan w:val="3"/>
            <w:tcBorders>
              <w:top w:val="single" w:sz="8"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E' presente l'attestazione di prestazione energetica (APE) rilasciata da soggetto abilitato o sistemi di rendicontazione da remoto?</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misure individuali, non rispondere al punto 11 ma rispondere al punto 11.1</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11.1</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Le componenti rispettano la conformità ai requisiti minimi fissati per i singoli componenti e sistemi nel Decreto interministeriale 26 giugno 2015?</w:t>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12</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Sono state adottate le eventuali soluzioni di adattabilità definite a seguito della analisi dell’adattabilità o della valutazione di vulnerabilità e del rischio per il clima realizzata?</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519" w:type="dxa"/>
            <w:gridSpan w:val="8"/>
            <w:tcBorders>
              <w:top w:val="single" w:sz="4" w:space="0" w:color="000000"/>
              <w:bottom w:val="single" w:sz="4" w:space="0" w:color="000000"/>
              <w:right w:val="single" w:sz="8" w:space="0" w:color="000000"/>
            </w:tcBorders>
            <w:shd w:color="000000" w:fill="E7E6E6" w:val="clear"/>
            <w:vAlign w:val="center"/>
          </w:tcPr>
          <w:p>
            <w:pPr>
              <w:pStyle w:val="Normal"/>
              <w:spacing w:lineRule="auto" w:line="240" w:before="0" w:after="0"/>
              <w:jc w:val="center"/>
              <w:rPr>
                <w:rFonts w:eastAsia="Times New Roman" w:cs="Calibri"/>
                <w:i/>
                <w:i/>
                <w:iCs/>
                <w:color w:val="000000"/>
                <w:lang w:eastAsia="it-IT"/>
              </w:rPr>
            </w:pPr>
            <w:r>
              <w:rPr>
                <w:rFonts w:eastAsia="Times New Roman" w:cs="Calibri"/>
                <w:i/>
                <w:iCs/>
                <w:color w:val="000000"/>
                <w:lang w:eastAsia="it-IT"/>
              </w:rPr>
              <w:t>Nel caso di progetti pubblici, il rispetto dei Criteri Ambientali Minimi (CAM) per l'edilizia approvati con DM 23 giugno 2022 n. 256, GURI n. 183 del 6 agosto 2022, assolve dal rispetto dei vicoli 13, 14, 15, 16 e 17. Sarà pertanto sufficiente disporre delle prove di verifica nella fase ex-post</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13</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Se applicabile, sono disponibili delle schede di prodotto per gli impianti idrico sanitari che indichino il rispetto delle specifiche tecniche e degli standard riportati?</w:t>
            </w:r>
          </w:p>
        </w:tc>
        <w:tc>
          <w:tcPr>
            <w:tcW w:w="1103" w:type="dxa"/>
            <w:gridSpan w:val="3"/>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bottom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960"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14</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sz w:val="18"/>
                <w:szCs w:val="18"/>
                <w:lang w:eastAsia="it-IT"/>
              </w:rPr>
            </w:pPr>
            <w:r>
              <w:rPr>
                <w:rFonts w:eastAsia="Times New Roman" w:cs="Calibri"/>
                <w:sz w:val="18"/>
                <w:szCs w:val="18"/>
                <w:lang w:eastAsia="it-IT"/>
              </w:rPr>
              <w:t>E' disponibile la relazione finale con l’indicazione dei rifiuti prodotti, da cui emerga la destinazione ad una operazione “R” del 70% in peso dei rifiuti da demolizione e costruzione?</w:t>
            </w:r>
          </w:p>
        </w:tc>
        <w:tc>
          <w:tcPr>
            <w:tcW w:w="1103" w:type="dxa"/>
            <w:gridSpan w:val="3"/>
            <w:tcBorders>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707"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15</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sz w:val="18"/>
                <w:szCs w:val="18"/>
                <w:lang w:eastAsia="it-IT"/>
              </w:rPr>
            </w:pPr>
            <w:r>
              <w:rPr>
                <w:rFonts w:eastAsia="Times New Roman" w:cs="Calibri"/>
                <w:sz w:val="18"/>
                <w:szCs w:val="18"/>
                <w:lang w:eastAsia="it-IT"/>
              </w:rPr>
              <w:t>Sono presenti le schede tecniche dei materiali e sostanze impiegate?</w:t>
            </w:r>
          </w:p>
        </w:tc>
        <w:tc>
          <w:tcPr>
            <w:tcW w:w="1103" w:type="dxa"/>
            <w:gridSpan w:val="3"/>
            <w:tcBorders>
              <w:top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844"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16</w:t>
            </w:r>
          </w:p>
        </w:tc>
        <w:tc>
          <w:tcPr>
            <w:tcW w:w="3813" w:type="dxa"/>
            <w:gridSpan w:val="3"/>
            <w:tcBorders>
              <w:top w:val="single" w:sz="4" w:space="0" w:color="000000"/>
              <w:bottom w:val="single" w:sz="4" w:space="0" w:color="000000"/>
              <w:right w:val="single" w:sz="4" w:space="0" w:color="000000"/>
            </w:tcBorders>
            <w:shd w:color="auto" w:fill="auto" w:val="clear"/>
            <w:vAlign w:val="center"/>
          </w:tcPr>
          <w:p>
            <w:pPr>
              <w:pStyle w:val="Normal"/>
              <w:spacing w:lineRule="auto" w:line="240" w:before="0" w:after="0"/>
              <w:jc w:val="both"/>
              <w:rPr>
                <w:rFonts w:eastAsia="Times New Roman" w:cs="Calibri"/>
                <w:sz w:val="18"/>
                <w:szCs w:val="18"/>
                <w:lang w:eastAsia="it-IT"/>
              </w:rPr>
            </w:pPr>
            <w:r>
              <w:rPr>
                <w:rFonts w:eastAsia="Times New Roman" w:cs="Calibri"/>
                <w:sz w:val="18"/>
                <w:szCs w:val="18"/>
                <w:lang w:eastAsia="it-IT"/>
              </w:rPr>
              <w:t>Sono presenti le certificazioni FSC/PEFC o altra certificazione equivalente per l'80% del legno vergine?</w:t>
            </w:r>
          </w:p>
        </w:tc>
        <w:tc>
          <w:tcPr>
            <w:tcW w:w="1103" w:type="dxa"/>
            <w:gridSpan w:val="3"/>
            <w:tcBorders>
              <w:top w:val="single" w:sz="4"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4"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673" w:hRule="atLeast"/>
        </w:trPr>
        <w:tc>
          <w:tcPr>
            <w:tcW w:w="2046" w:type="dxa"/>
            <w:vMerge w:val="continue"/>
            <w:tcBorders>
              <w:left w:val="single" w:sz="8" w:space="0" w:color="000000"/>
              <w:bottom w:val="single" w:sz="8" w:space="0" w:color="000000"/>
              <w:right w:val="single" w:sz="4" w:space="0" w:color="000000"/>
            </w:tcBorders>
            <w:vAlign w:val="center"/>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lang w:eastAsia="it-IT"/>
              </w:rPr>
            </w:pPr>
            <w:r>
              <w:rPr>
                <w:rFonts w:eastAsia="Times New Roman" w:cs="Calibri"/>
                <w:color w:val="000000"/>
                <w:lang w:eastAsia="it-IT"/>
              </w:rPr>
              <w:t>17</w:t>
            </w:r>
          </w:p>
        </w:tc>
        <w:tc>
          <w:tcPr>
            <w:tcW w:w="3813" w:type="dxa"/>
            <w:gridSpan w:val="3"/>
            <w:tcBorders>
              <w:top w:val="single" w:sz="4" w:space="0" w:color="000000"/>
              <w:bottom w:val="single" w:sz="8" w:space="0" w:color="000000"/>
              <w:right w:val="single" w:sz="4" w:space="0" w:color="000000"/>
            </w:tcBorders>
            <w:shd w:color="auto" w:fill="auto" w:val="clear"/>
            <w:vAlign w:val="center"/>
          </w:tcPr>
          <w:p>
            <w:pPr>
              <w:pStyle w:val="Normal"/>
              <w:spacing w:lineRule="auto" w:line="240" w:before="0" w:after="0"/>
              <w:jc w:val="both"/>
              <w:rPr>
                <w:rFonts w:eastAsia="Times New Roman" w:cs="Calibri"/>
                <w:color w:val="000000"/>
                <w:sz w:val="18"/>
                <w:szCs w:val="18"/>
                <w:lang w:eastAsia="it-IT"/>
              </w:rPr>
            </w:pPr>
            <w:r>
              <w:rPr>
                <w:rFonts w:eastAsia="Times New Roman" w:cs="Calibri"/>
                <w:color w:val="000000"/>
                <w:sz w:val="18"/>
                <w:szCs w:val="18"/>
                <w:lang w:eastAsia="it-IT"/>
              </w:rPr>
              <w:t>Sono disponibili le schede tecniche del materiale (legno) impiegato (da riutilizzo/riciclo)?</w:t>
            </w:r>
          </w:p>
        </w:tc>
        <w:tc>
          <w:tcPr>
            <w:tcW w:w="1103" w:type="dxa"/>
            <w:gridSpan w:val="3"/>
            <w:tcBorders>
              <w:top w:val="single" w:sz="4" w:space="0" w:color="000000"/>
              <w:bottom w:val="single" w:sz="8" w:space="0" w:color="000000"/>
              <w:right w:val="single" w:sz="4" w:space="0" w:color="000000"/>
            </w:tcBorders>
            <w:shd w:color="auto" w:fill="auto" w:val="clear"/>
            <w:vAlign w:val="center"/>
          </w:tcPr>
          <w:p>
            <w:pPr>
              <w:pStyle w:val="Normal"/>
              <w:spacing w:lineRule="auto" w:line="240" w:before="0" w:after="0"/>
              <w:jc w:val="center"/>
              <w:rPr>
                <w:rFonts w:eastAsia="Times New Roman" w:cs="Calibri"/>
                <w:color w:val="000000"/>
                <w:sz w:val="18"/>
                <w:szCs w:val="18"/>
                <w:lang w:eastAsia="it-IT"/>
              </w:rPr>
            </w:pPr>
            <w:r>
              <w:rPr>
                <w:rFonts w:eastAsia="Times New Roman" w:cs="Calibri"/>
                <w:color w:val="000000"/>
                <w:sz w:val="18"/>
                <w:szCs w:val="18"/>
                <w:lang w:eastAsia="it-IT"/>
              </w:rPr>
              <w:t> </w:t>
            </w:r>
          </w:p>
        </w:tc>
        <w:tc>
          <w:tcPr>
            <w:tcW w:w="1321" w:type="dxa"/>
            <w:tcBorders>
              <w:top w:val="single" w:sz="4" w:space="0" w:color="000000"/>
              <w:bottom w:val="single" w:sz="8" w:space="0" w:color="000000"/>
              <w:right w:val="single" w:sz="8" w:space="0" w:color="000000"/>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w:t>
            </w:r>
          </w:p>
        </w:tc>
      </w:tr>
      <w:tr>
        <w:trPr>
          <w:trHeight w:val="300" w:hRule="atLeast"/>
        </w:trPr>
        <w:tc>
          <w:tcPr>
            <w:tcW w:w="20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28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3521"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9"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3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72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321"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r>
      <w:tr>
        <w:trPr>
          <w:trHeight w:val="300" w:hRule="atLeast"/>
        </w:trPr>
        <w:tc>
          <w:tcPr>
            <w:tcW w:w="20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 xml:space="preserve">                      </w:t>
            </w:r>
            <w:r>
              <w:rPr>
                <w:rFonts w:eastAsia="Times New Roman" w:cs="Calibri"/>
                <w:color w:val="000000"/>
                <w:lang w:eastAsia="it-IT"/>
              </w:rPr>
              <w:t xml:space="preserve">Il RUP                             </w:t>
            </w:r>
          </w:p>
        </w:tc>
        <w:tc>
          <w:tcPr>
            <w:tcW w:w="128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3521"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6"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149"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32" w:type="dxa"/>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r>
          </w:p>
        </w:tc>
        <w:tc>
          <w:tcPr>
            <w:tcW w:w="2043" w:type="dxa"/>
            <w:gridSpan w:val="2"/>
            <w:tcBorders/>
            <w:shd w:color="auto" w:fill="auto" w:val="clear"/>
            <w:vAlign w:val="bottom"/>
          </w:tcPr>
          <w:p>
            <w:pPr>
              <w:pStyle w:val="Normal"/>
              <w:spacing w:lineRule="auto" w:line="240" w:before="0" w:after="0"/>
              <w:rPr>
                <w:rFonts w:eastAsia="Times New Roman" w:cs="Calibri"/>
                <w:color w:val="000000"/>
                <w:lang w:eastAsia="it-IT"/>
              </w:rPr>
            </w:pPr>
            <w:r>
              <w:rPr>
                <w:rFonts w:eastAsia="Times New Roman" w:cs="Calibri"/>
                <w:color w:val="000000"/>
                <w:lang w:eastAsia="it-IT"/>
              </w:rPr>
              <w:t>Il  legale Rappresentante</w:t>
            </w:r>
          </w:p>
        </w:tc>
      </w:tr>
    </w:tbl>
    <w:p>
      <w:pPr>
        <w:pStyle w:val="Normal"/>
        <w:rPr/>
      </w:pPr>
      <w:r>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r>
    </w:p>
    <w:p>
      <w:pPr>
        <w:pStyle w:val="Normal"/>
        <w:spacing w:lineRule="auto" w:line="240" w:before="0" w:after="0"/>
        <w:ind w:left="142" w:hanging="142"/>
        <w:jc w:val="both"/>
        <w:rPr>
          <w:sz w:val="14"/>
          <w:szCs w:val="14"/>
        </w:rPr>
      </w:pPr>
      <w:r>
        <w:rPr>
          <w:sz w:val="14"/>
          <w:szCs w:val="14"/>
        </w:rPr>
        <w:t>1 Questa voce si ritiene applicabile nel solo caso in cui dovesse essere stata prevista una specifica esclusione delle caldaie a gas per la misura in oggetto. Di seguito è riportata una lista nelle misure per le quali le quali l’allegato prevede l’esclusione dal finanziamento in particolare delle caldaie a condensazione a gas:</w:t>
        <w:tab/>
      </w:r>
    </w:p>
    <w:p>
      <w:pPr>
        <w:pStyle w:val="Normal"/>
        <w:spacing w:lineRule="auto" w:line="240" w:before="0" w:after="0"/>
        <w:ind w:left="142" w:hanging="142"/>
        <w:jc w:val="both"/>
        <w:rPr>
          <w:sz w:val="14"/>
          <w:szCs w:val="14"/>
        </w:rPr>
      </w:pPr>
      <w:r>
        <w:rPr>
          <w:sz w:val="14"/>
          <w:szCs w:val="14"/>
        </w:rPr>
        <w:t>o</w:t>
        <w:tab/>
        <w:t>M2C4 – inv. 2.2 Interventi per la resilienza, la valorizzazione del territorio e l'efficienza energetica dei comuni;</w:t>
      </w:r>
    </w:p>
    <w:p>
      <w:pPr>
        <w:pStyle w:val="Normal"/>
        <w:spacing w:lineRule="auto" w:line="240" w:before="0" w:after="0"/>
        <w:ind w:left="142" w:hanging="142"/>
        <w:jc w:val="both"/>
        <w:rPr>
          <w:sz w:val="14"/>
          <w:szCs w:val="14"/>
        </w:rPr>
      </w:pPr>
      <w:r>
        <w:rPr>
          <w:sz w:val="14"/>
          <w:szCs w:val="14"/>
        </w:rPr>
        <w:t>o</w:t>
        <w:tab/>
        <w:t xml:space="preserve">M5 C2 – inv. 2.1 Investimenti in progetti di rigenerazione urbana, volti a ridurre situazioni di emarginazione e degrado sociale; </w:t>
      </w:r>
    </w:p>
    <w:p>
      <w:pPr>
        <w:pStyle w:val="Normal"/>
        <w:spacing w:lineRule="auto" w:line="240" w:before="0" w:after="0"/>
        <w:ind w:left="142" w:hanging="142"/>
        <w:jc w:val="both"/>
        <w:rPr>
          <w:sz w:val="14"/>
          <w:szCs w:val="14"/>
        </w:rPr>
      </w:pPr>
      <w:r>
        <w:rPr>
          <w:sz w:val="14"/>
          <w:szCs w:val="14"/>
        </w:rPr>
        <w:t>o</w:t>
        <w:tab/>
        <w:t>M5C2 – inv. 2.2 Piani urbani integrati;</w:t>
      </w:r>
    </w:p>
    <w:p>
      <w:pPr>
        <w:pStyle w:val="Normal"/>
        <w:spacing w:lineRule="auto" w:line="240" w:before="0" w:after="0"/>
        <w:ind w:left="1134" w:hanging="1134"/>
        <w:jc w:val="both"/>
        <w:rPr>
          <w:sz w:val="14"/>
          <w:szCs w:val="14"/>
        </w:rPr>
      </w:pPr>
      <w:r>
        <w:rPr>
          <w:sz w:val="14"/>
          <w:szCs w:val="14"/>
        </w:rPr>
        <w:t>Per le seguenti misure non è previsto l'approvvigionamento di caldaie a gas naturale.</w:t>
      </w:r>
    </w:p>
    <w:p>
      <w:pPr>
        <w:pStyle w:val="Normal"/>
        <w:spacing w:lineRule="auto" w:line="240" w:before="0" w:after="0"/>
        <w:ind w:left="142" w:hanging="142"/>
        <w:jc w:val="both"/>
        <w:rPr>
          <w:sz w:val="14"/>
          <w:szCs w:val="14"/>
        </w:rPr>
      </w:pPr>
      <w:r>
        <w:rPr>
          <w:sz w:val="14"/>
          <w:szCs w:val="14"/>
        </w:rPr>
        <w:t>o</w:t>
        <w:tab/>
        <w:t>M2C3 - Investimento 1.2 Costruzione di edifici, riqualificazione e rafforzamento dei beni immobili dell'amministrazione della giustizia;</w:t>
      </w:r>
    </w:p>
    <w:p>
      <w:pPr>
        <w:pStyle w:val="Normal"/>
        <w:spacing w:lineRule="auto" w:line="240" w:before="0" w:after="0"/>
        <w:ind w:left="142" w:hanging="142"/>
        <w:jc w:val="both"/>
        <w:rPr>
          <w:sz w:val="14"/>
          <w:szCs w:val="14"/>
        </w:rPr>
      </w:pPr>
      <w:r>
        <w:rPr>
          <w:sz w:val="14"/>
          <w:szCs w:val="14"/>
        </w:rPr>
        <w:t>o</w:t>
        <w:tab/>
        <w:t>M4C1 – investimento 3.3 Piano di messa in sicurezza e riqualificazione dell'edilizia scolastica;</w:t>
      </w:r>
    </w:p>
    <w:p>
      <w:pPr>
        <w:pStyle w:val="Normal"/>
        <w:spacing w:lineRule="auto" w:line="240" w:before="0" w:after="0"/>
        <w:ind w:left="142" w:hanging="142"/>
        <w:jc w:val="both"/>
        <w:rPr>
          <w:sz w:val="14"/>
          <w:szCs w:val="14"/>
        </w:rPr>
      </w:pPr>
      <w:r>
        <w:rPr>
          <w:sz w:val="14"/>
          <w:szCs w:val="14"/>
        </w:rPr>
        <w:t>o</w:t>
        <w:tab/>
        <w:t>M4C1 - Riforma 1.7 Riforma della legislazione sugli alloggi per studenti e investimenti negli alloggi per studenti;</w:t>
      </w:r>
    </w:p>
    <w:p>
      <w:pPr>
        <w:pStyle w:val="Normal"/>
        <w:spacing w:lineRule="auto" w:line="240" w:before="0" w:after="0"/>
        <w:ind w:left="142" w:hanging="142"/>
        <w:jc w:val="both"/>
        <w:rPr>
          <w:sz w:val="14"/>
          <w:szCs w:val="14"/>
        </w:rPr>
      </w:pPr>
      <w:r>
        <w:rPr>
          <w:sz w:val="14"/>
          <w:szCs w:val="14"/>
        </w:rPr>
        <w:t>o</w:t>
        <w:tab/>
        <w:t xml:space="preserve">M2C3 Investimento 2.1 Rafforzamento dell'Ecobonus e del Sismabonus per l'efficienza energetica e la sicurezza degli edifici. Per quest’ultima misura, il costo dell'installazione di caldaie a condensazione a gas deve rappresentare una piccola parte del costo complessivo del programma di ristrutturazione e l'installazione deve avvenire per sostituire le caldaie alimentate a olio combustibile. </w:t>
      </w:r>
    </w:p>
    <w:p>
      <w:pPr>
        <w:pStyle w:val="Normal"/>
        <w:spacing w:lineRule="auto" w:line="240" w:before="0" w:after="0"/>
        <w:ind w:left="1134" w:hanging="1134"/>
        <w:jc w:val="both"/>
        <w:rPr>
          <w:sz w:val="14"/>
          <w:szCs w:val="14"/>
        </w:rPr>
      </w:pPr>
      <w:r>
        <w:rPr>
          <w:sz w:val="14"/>
          <w:szCs w:val="14"/>
        </w:rPr>
      </w:r>
    </w:p>
    <w:p>
      <w:pPr>
        <w:pStyle w:val="Normal"/>
        <w:spacing w:lineRule="auto" w:line="240"/>
        <w:ind w:left="142" w:hanging="142"/>
        <w:jc w:val="both"/>
        <w:rPr>
          <w:sz w:val="14"/>
          <w:szCs w:val="14"/>
        </w:rPr>
      </w:pPr>
      <w:r>
        <w:rPr>
          <w:sz w:val="14"/>
          <w:szCs w:val="14"/>
        </w:rPr>
        <w:t>2 Ad eccezione dei progetti previsti nell’ambito della presente misura riguardanti la produzione di energia elettrica e/o di calore a partire dal gas naturale, come pure le relative infrastrutture di trasmissione/trasporto e distribuzione che utilizzano gas naturale, che sono conformi alle condizioni di cui all’allegato III degli orientamenti tecnici sull’applicazione del principio “non arrecare un danno significativo” (2021/C58/01).</w:t>
      </w:r>
    </w:p>
    <w:p>
      <w:pPr>
        <w:pStyle w:val="Normal"/>
        <w:spacing w:lineRule="auto" w:line="240"/>
        <w:ind w:left="142" w:hanging="142"/>
        <w:jc w:val="both"/>
        <w:rPr>
          <w:sz w:val="14"/>
          <w:szCs w:val="14"/>
        </w:rPr>
      </w:pPr>
      <w:r>
        <w:rPr>
          <w:sz w:val="14"/>
          <w:szCs w:val="14"/>
        </w:rPr>
        <w:t>3 Se l’attività che beneficia del sostegno genera emissioni di gas a effetto serra previste che non sono significativamente inferiori ai pertinenti parametri di riferimento, occorre spiegarne il motivo. I parametri di riferimento per l’assegnazione gratuita di quote per le attività che rientrano nell’ambito di applicazione del sistema di scambio di quote di emissioni sono stabiliti nel regolamento di esecuzione (UE) 2021/447 della Commissione.</w:t>
      </w:r>
    </w:p>
    <w:p>
      <w:pPr>
        <w:pStyle w:val="Normal"/>
        <w:spacing w:lineRule="auto" w:line="240"/>
        <w:ind w:left="142" w:hanging="142"/>
        <w:jc w:val="both"/>
        <w:rPr>
          <w:sz w:val="14"/>
          <w:szCs w:val="14"/>
        </w:rPr>
      </w:pPr>
      <w:r>
        <w:rPr>
          <w:sz w:val="14"/>
          <w:szCs w:val="14"/>
        </w:rPr>
        <w:t>4 L’esclusione non si applica alle azioni previste dalla presente misura negli impianti di trattamento meccanico biologico esistenti quando tali azioni sono intese ad aumentare l’efficienza energetica o migliorare le operazioni di riciclaggio dei rifiuti differenziati al fine di convertirle nel compostaggio e nella digestione anaerobica di rifiuti organici, purché tali azioni nell’ambito della presente misura non determinino un aumento della capacità di trattamento dei rifiuti dell’impianto o un’estensione della sua durata di vita; sono fornite prove a livello di impianto.</w:t>
      </w:r>
    </w:p>
    <w:p>
      <w:pPr>
        <w:pStyle w:val="Normal"/>
        <w:spacing w:lineRule="auto" w:line="240"/>
        <w:ind w:left="142" w:hanging="142"/>
        <w:jc w:val="both"/>
        <w:rPr>
          <w:sz w:val="14"/>
          <w:szCs w:val="14"/>
        </w:rPr>
      </w:pPr>
      <w:r>
        <w:rPr>
          <w:sz w:val="14"/>
          <w:szCs w:val="14"/>
        </w:rPr>
        <w:t>5 L’esclusione non si applica alle azioni previste nell’ambito della presente misura in impianti esclusivamente adibiti al trattamento di rifiuti pericolosi non riciclabili, né agli impianti esistenti quando tali azioni sono intese ad aumentare l’efficienza energetica, catturare i gas di scarico per lo stoccaggio o l’utilizzo, o recuperare i materiali da residui di combustione, purché tali azioni nell’ambito della presente misura non determinino un aumento della capacità di trattamento dei rifiuti dell’impianto o un’estensione della sua durata di vita; sono fornite prove a livello di impianto.</w:t>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20744" w:type="dxa"/>
        <w:jc w:val="left"/>
        <w:tblInd w:w="-108" w:type="dxa"/>
        <w:tblCellMar>
          <w:top w:w="0" w:type="dxa"/>
          <w:left w:w="0" w:type="dxa"/>
          <w:bottom w:w="0" w:type="dxa"/>
          <w:right w:w="0" w:type="dxa"/>
        </w:tblCellMar>
        <w:tblLook w:firstRow="1" w:noVBand="1" w:lastRow="0" w:firstColumn="1" w:lastColumn="0" w:noHBand="0" w:val="04a0"/>
      </w:tblPr>
      <w:tblGrid>
        <w:gridCol w:w="2219"/>
        <w:gridCol w:w="946"/>
        <w:gridCol w:w="10198"/>
        <w:gridCol w:w="2296"/>
        <w:gridCol w:w="5085"/>
      </w:tblGrid>
      <w:tr>
        <w:trPr>
          <w:trHeight w:val="370" w:hRule="atLeast"/>
        </w:trPr>
        <w:tc>
          <w:tcPr>
            <w:tcW w:w="20744" w:type="dxa"/>
            <w:gridSpan w:val="5"/>
            <w:tcBorders>
              <w:top w:val="single" w:sz="12" w:space="0" w:color="000000"/>
              <w:left w:val="single" w:sz="12" w:space="0" w:color="000000"/>
              <w:bottom w:val="nil"/>
              <w:right w:val="nil"/>
            </w:tcBorders>
            <w:shd w:color="F2DBDA" w:fill="F2DBDA" w:val="clear"/>
            <w:vAlign w:val="bottom"/>
          </w:tcPr>
          <w:p>
            <w:pPr>
              <w:pStyle w:val="Normal"/>
              <w:spacing w:lineRule="auto" w:line="240" w:before="0" w:after="160"/>
              <w:ind w:left="1134" w:hanging="1134"/>
              <w:jc w:val="both"/>
              <w:rPr>
                <w:rFonts w:ascii="Calibri Light" w:hAnsi="Calibri Light" w:eastAsia="Times New Roman"/>
                <w:b/>
                <w:b/>
                <w:bCs/>
                <w:color w:val="1F4D78"/>
                <w:sz w:val="30"/>
                <w:szCs w:val="30"/>
              </w:rPr>
            </w:pPr>
            <w:r>
              <w:rPr>
                <w:rFonts w:eastAsia="Calibri" w:cs="Calibri"/>
                <w:b/>
                <w:i/>
                <w:strike w:val="false"/>
                <w:dstrike w:val="false"/>
                <w:color w:val="000000"/>
                <w:sz w:val="28"/>
                <w:u w:val="none"/>
              </w:rPr>
              <w:t>Scheda  3  - Acquisto, Leasing e Noleggio di computer e apparecchiature elettriche ed elettroniche</w:t>
            </w:r>
          </w:p>
        </w:tc>
      </w:tr>
      <w:tr>
        <w:trPr>
          <w:trHeight w:val="970" w:hRule="atLeast"/>
        </w:trPr>
        <w:tc>
          <w:tcPr>
            <w:tcW w:w="2219"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6"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6"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5085"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960" w:hRule="atLeast"/>
        </w:trPr>
        <w:tc>
          <w:tcPr>
            <w:tcW w:w="2219"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6"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l'iscrizione alla piattaforma RAEE in qualità di produttore e/o distributore e/o fornitore?</w:t>
            </w:r>
          </w:p>
        </w:tc>
        <w:tc>
          <w:tcPr>
            <w:tcW w:w="2296"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prodotti elettronici acquistati sono dotati di un’etichetta ambientale di tipo I, secondo la UNI EN ISO 14024, ad esempio TCO Certified, EPEAT 2018, Blue Angel, TÜV Green Product Mark o di etichetta equivalente)</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center"/>
          </w:tcPr>
          <w:p>
            <w:pPr>
              <w:pStyle w:val="Normal"/>
              <w:widowControl/>
              <w:bidi w:val="0"/>
              <w:spacing w:lineRule="auto" w:line="259" w:beforeAutospacing="0" w:before="0" w:afterAutospacing="0" w:after="160"/>
              <w:jc w:val="left"/>
              <w:rPr/>
            </w:pPr>
            <w:r>
              <w:rPr>
                <w:rFonts w:eastAsia="Calibri" w:cs="Calibri"/>
                <w:b w:val="false"/>
                <w:i/>
                <w:strike w:val="false"/>
                <w:dstrike w:val="false"/>
                <w:color w:val="000000"/>
                <w:position w:val="0"/>
                <w:sz w:val="22"/>
                <w:sz w:val="22"/>
                <w:u w:val="none"/>
                <w:vertAlign w:val="baseline"/>
              </w:rPr>
              <w:t>Specificare il tipo di etichetta ambientale di tipo I</w:t>
            </w:r>
          </w:p>
        </w:tc>
      </w:tr>
      <w:tr>
        <w:trPr>
          <w:trHeight w:val="27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8525"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In caso di assenza di un etichetta ambientale di tipo I dovranno essere verificati i requisiti seguenti al posto del punto 2</w:t>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L'AEE è dotata di Etichetta EPA ENERGY STAR?</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8525"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In  alternativa al punto 3, rispondere al punto 3.1</w:t>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3.1</w:t>
            </w:r>
          </w:p>
        </w:tc>
        <w:tc>
          <w:tcPr>
            <w:tcW w:w="10198" w:type="dxa"/>
            <w:tcBorders>
              <w:top w:val="single" w:sz="6" w:space="0" w:color="000000"/>
              <w:left w:val="single" w:sz="6" w:space="0" w:color="000000"/>
              <w:bottom w:val="single" w:sz="6" w:space="0" w:color="000000"/>
              <w:right w:val="nil"/>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del produttore che attesti che il consumo tipico di energia elettrica (Etec), calcolato per ogni dispositivo offerto, non superi il TEC massimo necessario (Etec-max) in linea con quanto descritto nell’Allegato III dei criteri GPP UE ?</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Nel caso di server e prodotti di archiviazioni dati, è disponibile la dichiarazione dei produttori/fornitori di conformità alla seguente normativa: ecodesign (Regolamento (EU) 2019/424)?</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Nel caso di computer fissi e display, è presente la marcatura di alloggiamenti e mascherine di plastica secondo gli standard ISO 11469 e ISO 1043?</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231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Nel caso di fornitura di apparecchiature TIC ricondizionate/rifabbricate, è disponibile una delle certificazioni di sistema di gestione seguente:</w:t>
              <w:br/>
              <w:t>•ISO 9001 e ISO 14001/regolamento EMAS (certificazione di sistema di gestione disponibile sotto accreditamento –il campo di applicazione della certificazione dovrà riportare lo specifico scopo richiesto);</w:t>
              <w:br/>
              <w:t>•EN 50614:2020 (qualora l'apparecchiatura sia stata precedentemente scartata come rifiuto RAEE, e preparata per il riutilizzo per lo stesso scopo per cui è stata concepita)?</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del produttore/fornitore di rispetto della seguente normativa: RoHS (Direttiva 2011/65/EU e ss.m.i.); Compatibilità elettromagnetica (Direttiva 2014/30/UE e ss.m.i.)?</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6" w:space="0" w:color="000000"/>
              <w:right w:val="nil"/>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state indicate le limitazioni delle caratteristiche di pericolo dei materiali che si prevede utilizzare (Art. 57, Regolamento CE 1907/2006, REACH)?</w:t>
            </w:r>
          </w:p>
        </w:tc>
        <w:tc>
          <w:tcPr>
            <w:tcW w:w="229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430" w:hRule="atLeast"/>
        </w:trPr>
        <w:tc>
          <w:tcPr>
            <w:tcW w:w="2219"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8525"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i/>
                <w:strike w:val="false"/>
                <w:dstrike w:val="false"/>
                <w:color w:val="000000"/>
                <w:position w:val="0"/>
                <w:sz w:val="22"/>
                <w:sz w:val="22"/>
                <w:u w:val="none"/>
                <w:vertAlign w:val="baseline"/>
              </w:rPr>
              <w:t>Alle apparecchiature per stampa, copia, multifunzione e servizi di Print&amp;Copy si applica un requisito trasversale</w:t>
            </w:r>
          </w:p>
        </w:tc>
      </w:tr>
      <w:tr>
        <w:trPr>
          <w:trHeight w:val="1260" w:hRule="atLeast"/>
        </w:trPr>
        <w:tc>
          <w:tcPr>
            <w:tcW w:w="2219"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12"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verificata la conformità alle specifiche tecniche e clausole contrattuali dei Criteri ambientali minimi “Affidamento del servizio di stampa gestita, affidamento del servizio di noleggio di stampanti e di apparecchiature multifunzione per ufficio e acquisto o il leasing di stampanti e di apparecchiature multifunzione per ufficio, approvato con DM 17 ottobre 2019, in G.U. n. 261 del 7 novembre 2019” ?</w:t>
            </w:r>
          </w:p>
        </w:tc>
        <w:tc>
          <w:tcPr>
            <w:tcW w:w="2296"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5085"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93"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position w:val="0"/>
                <w:sz w:val="28"/>
                <w:sz w:val="28"/>
                <w:u w:val="none"/>
                <w:vertAlign w:val="baseline"/>
              </w:rPr>
              <w:t>Scheda  4 - Acquisto, Leasing, Noleggio di apparecchiature elettriche ed elettroniche utilizzate nel settore sanitario</w:t>
            </w:r>
          </w:p>
        </w:tc>
      </w:tr>
      <w:tr>
        <w:trPr>
          <w:trHeight w:val="91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96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Nel libretto d’istruzione, disponibile in formato elettronico, sono comprese istruzioni che spieghino come ridurre al minimo il consumo di energia?</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Nel libretto d’istruzione,  disponibile in formato elettronico, sono comprese istruzioni che spieghino come ridurre al minimo il consumo di acqua?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L'offerente rende disponibili le parti di ricambio originali o equivalenti (direttamente o tramite mandatari) per la durata di vita prevista dell'apparecchiatura, per un periodo di almeno cinque anni oltre al periodo di garanzia?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L'offerente fornisce le raccomandazioni per un'adeguata manutenzione del prodotto, comprese informazioni sulle parti di ricambio che possono essere sostituite, consigli per la pulizia?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Nel libretto di istruzioni per gli utenti è illustrato come utilizzare l'apparecchiatura per ridurre al minimo l'impatto ambientale durante l'installazione, l'utilizzo, il funzionamento e lo smaltimento/riciclaggio?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L'offerente è regolarmente iscritto alla piattaforma RAEE, in qualità di produttore e/o distributore?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nil"/>
            </w:tcBorders>
            <w:shd w:color="FFFFFF" w:fill="FFFFFF" w:val="clear"/>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Sono state indicate le limitazioni delle caratteristiche di pericolo dei materiali che si prevede utilizzare (Art. 57, Regolamento CE 1907/2006, REACH)?</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12" w:space="0" w:color="000000"/>
              <w:right w:val="nil"/>
            </w:tcBorders>
            <w:shd w:color="FFFFFF" w:fill="FFFFFF" w:val="clear"/>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E' disponibile una dichiarazione del produttore/fornitore di rispetto della seguente normativa: RoHS (Direttiva 2011/65/EU e ss.m.i.); Compatibilità elettromagnetica (Direttiva 2014/30/UE e ss.m.i.), ecodesign (Regolamento (EU) 2019/424)?</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60" w:hRule="atLeast"/>
        </w:trPr>
        <w:tc>
          <w:tcPr>
            <w:tcW w:w="2220" w:type="dxa"/>
            <w:tcBorders>
              <w:top w:val="single" w:sz="12" w:space="0" w:color="000000"/>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Ex-post</w:t>
            </w:r>
          </w:p>
        </w:tc>
        <w:tc>
          <w:tcPr>
            <w:tcW w:w="945" w:type="dxa"/>
            <w:tcBorders>
              <w:top w:val="single" w:sz="12"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12" w:space="0" w:color="000000"/>
              <w:left w:val="single" w:sz="6" w:space="0" w:color="000000"/>
              <w:bottom w:val="single" w:sz="12" w:space="0" w:color="000000"/>
              <w:right w:val="single" w:sz="6" w:space="0" w:color="000000"/>
            </w:tcBorders>
            <w:vAlign w:val="center"/>
          </w:tcPr>
          <w:p>
            <w:pPr>
              <w:pStyle w:val="Normal"/>
              <w:spacing w:before="0" w:after="160"/>
              <w:jc w:val="center"/>
              <w:rPr>
                <w:sz w:val="20"/>
                <w:szCs w:val="20"/>
              </w:rPr>
            </w:pPr>
            <w:r>
              <w:rPr>
                <w:rFonts w:eastAsia="Calibri" w:cs="Calibri"/>
                <w:b w:val="false"/>
                <w:i w:val="false"/>
                <w:strike w:val="false"/>
                <w:dstrike w:val="false"/>
                <w:color w:val="000000"/>
                <w:position w:val="0"/>
                <w:sz w:val="20"/>
                <w:sz w:val="20"/>
                <w:szCs w:val="20"/>
                <w:u w:val="none"/>
                <w:vertAlign w:val="baseline"/>
              </w:rPr>
              <w:t>E' svolta la regolare manutenzione preventiva dell’AEE?</w:t>
            </w:r>
          </w:p>
        </w:tc>
        <w:tc>
          <w:tcPr>
            <w:tcW w:w="2295" w:type="dxa"/>
            <w:tcBorders>
              <w:top w:val="single" w:sz="12"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20639" w:type="dxa"/>
        <w:jc w:val="left"/>
        <w:tblInd w:w="-108" w:type="dxa"/>
        <w:tblCellMar>
          <w:top w:w="0" w:type="dxa"/>
          <w:left w:w="0" w:type="dxa"/>
          <w:bottom w:w="0" w:type="dxa"/>
          <w:right w:w="0" w:type="dxa"/>
        </w:tblCellMar>
        <w:tblLook w:firstRow="1" w:noVBand="1" w:lastRow="0" w:firstColumn="1" w:lastColumn="0" w:noHBand="0" w:val="04a0"/>
      </w:tblPr>
      <w:tblGrid>
        <w:gridCol w:w="2220"/>
        <w:gridCol w:w="946"/>
        <w:gridCol w:w="10197"/>
        <w:gridCol w:w="2295"/>
        <w:gridCol w:w="4981"/>
      </w:tblGrid>
      <w:tr>
        <w:trPr>
          <w:trHeight w:val="370" w:hRule="atLeast"/>
        </w:trPr>
        <w:tc>
          <w:tcPr>
            <w:tcW w:w="20639" w:type="dxa"/>
            <w:gridSpan w:val="5"/>
            <w:tcBorders>
              <w:top w:val="single" w:sz="12" w:space="0" w:color="000000"/>
              <w:left w:val="single" w:sz="12" w:space="0" w:color="000000"/>
              <w:bottom w:val="nil"/>
              <w:right w:val="nil"/>
            </w:tcBorders>
            <w:shd w:color="F2DBDA" w:fill="F2DBDA" w:val="clear"/>
            <w:vAlign w:val="center"/>
          </w:tcPr>
          <w:p>
            <w:pPr>
              <w:pStyle w:val="Normal"/>
              <w:spacing w:before="0" w:after="160"/>
              <w:jc w:val="center"/>
              <w:rPr/>
            </w:pPr>
            <w:r>
              <w:rPr>
                <w:rFonts w:eastAsia="Calibri" w:cs="Calibri"/>
                <w:b/>
                <w:i/>
                <w:strike w:val="false"/>
                <w:dstrike w:val="false"/>
                <w:color w:val="000000"/>
                <w:position w:val="0"/>
                <w:sz w:val="28"/>
                <w:sz w:val="28"/>
                <w:u w:val="none"/>
                <w:vertAlign w:val="baseline"/>
              </w:rPr>
              <w:t xml:space="preserve">Scheda  5 - Interventi edili e cantieristica generica non connessi con la costruzione/rinnovamento di edifici </w:t>
            </w:r>
          </w:p>
        </w:tc>
      </w:tr>
      <w:tr>
        <w:trPr>
          <w:trHeight w:val="855" w:hRule="atLeast"/>
        </w:trPr>
        <w:tc>
          <w:tcPr>
            <w:tcW w:w="2220" w:type="dxa"/>
            <w:tcBorders>
              <w:top w:val="single" w:sz="12" w:space="0" w:color="000000"/>
              <w:left w:val="single" w:sz="12" w:space="0" w:color="000000"/>
              <w:bottom w:val="nil"/>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6"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7"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498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c>
          <w:tcPr>
            <w:tcW w:w="2220" w:type="dxa"/>
            <w:vMerge w:val="restart"/>
            <w:tcBorders>
              <w:top w:val="nil"/>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18419" w:type="dxa"/>
            <w:gridSpan w:val="4"/>
            <w:tcBorders>
              <w:top w:val="single" w:sz="12"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Tutti gli elementi di controllo sono da rapportare ai requisiti specifici esplicitati nella scheda tecnica</w:t>
            </w:r>
          </w:p>
        </w:tc>
      </w:tr>
      <w:tr>
        <w:trPr>
          <w:trHeight w:val="71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presente una dichiarazione del fornitore di energia elettrica relativa all’impegno di garantire fornitura elettrica prodotta al 100% da fonti rinnovabili?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l’impiego di mezzi con le caratteristiche di efficienza indicate nella relativa scheda tecnica?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69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uno studio Geologico e idrogeologico relativo alla pericolosità dell’area di cantiere per la verifica di condizioni di rischio idrogeologico?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385"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18419" w:type="dxa"/>
            <w:gridSpan w:val="4"/>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misure associate esclusivamente alla scheda 5 e potenzialmente esposte a rischi fisici climatici attuali e futuri, rispettare il punto 4 o 4.1</w:t>
            </w:r>
          </w:p>
        </w:tc>
      </w:tr>
      <w:tr>
        <w:trPr>
          <w:trHeight w:val="69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report di analisi dell’adattabilità in conformità alle linee guida dell'Appendice A del Regolamento Delegato 2021/2139 (riportate all'appendice 1 della Guida Operativa)?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275"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18419" w:type="dxa"/>
            <w:gridSpan w:val="4"/>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opere che superano la soglia dei 10 milioni di euro, rispondere al posto del punto 4 al punto 4.1</w:t>
            </w:r>
          </w:p>
        </w:tc>
      </w:tr>
      <w:tr>
        <w:trPr>
          <w:trHeight w:val="69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4.1</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effettuata una valutazione di vulnerabilità e del rischio per il clima in base agli Orientamenti sulla verifica climatica delle infrastrutture 2021-2027?</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previsto uno studio per valutare il grado di rischio idraulico associato alle aree di cantiere?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565"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verificata la necessità della redazione del Piano di gestione Acque Meteoriche di Dilavamento (AMD)?</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In caso di apertura di uno scarico di acque reflue, sono state chieste le necessarie autorizzazioni?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sviluppato il bilancio idrico della attività di cantiere?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Piano di gestione rifiuti?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sviluppato il bilancio materie?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11</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redatto il  PAC, ove previsto dalle normative regionali o nazionali?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12</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Sussistono i requisiti per caratterizzazione del sito ed è stata eventualmente pianificata o realizzata la stessa?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13</w:t>
            </w:r>
          </w:p>
        </w:tc>
        <w:tc>
          <w:tcPr>
            <w:tcW w:w="10197" w:type="dxa"/>
            <w:tcBorders>
              <w:top w:val="single" w:sz="6" w:space="0" w:color="000000"/>
              <w:left w:val="single" w:sz="6" w:space="0" w:color="000000"/>
              <w:bottom w:val="single" w:sz="6" w:space="0" w:color="000000"/>
              <w:right w:val="single" w:sz="6" w:space="0" w:color="000000"/>
            </w:tcBorders>
            <w:shd w:color="FFFFFF" w:fill="FFFFFF"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confermato che la localizzazione dell’opera non sia all’interno delle aree indicate nella relativa scheda tecnica?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25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14</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gli interventi situati in aree sensibili sotto il profilo della biodiversità o in prossimità di esse, fermo restando le aree di divieto, è stata verificata la sussistenza di sensibilità territoriali, in particolare tramite una verifica preliminare, mediante censimento floro-faunistico, dell’assenza di habitat di specie (flora e fauna) in pericolo elencate nella lista rossa europea o nella lista rossa dell'IUCN?</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250" w:hRule="atLeast"/>
        </w:trPr>
        <w:tc>
          <w:tcPr>
            <w:tcW w:w="2220" w:type="dxa"/>
            <w:vMerge w:val="continue"/>
            <w:tcBorders>
              <w:top w:val="single" w:sz="6" w:space="0" w:color="000000"/>
              <w:left w:val="single" w:sz="12"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15</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aree naturali protette (quali ad esempio parchi nazionali, parchi interregionali, parchi regionali, aree marine protette etc.…) , è stato rilasciato il nulla osta degli enti competenti?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880" w:hRule="atLeast"/>
        </w:trPr>
        <w:tc>
          <w:tcPr>
            <w:tcW w:w="2220" w:type="dxa"/>
            <w:vMerge w:val="continue"/>
            <w:tcBorders>
              <w:top w:val="single" w:sz="6" w:space="0" w:color="000000"/>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16</w:t>
            </w:r>
          </w:p>
        </w:tc>
        <w:tc>
          <w:tcPr>
            <w:tcW w:w="10197"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Laddove sia ipotizzabile un’incidenza diretta o indiretta sui siti della Rete Natura 2000 l’intervento è stato sottoposto a Valutazione di Incidenza (DPR 357/97)?</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restart"/>
            <w:tcBorders>
              <w:top w:val="single" w:sz="12"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 post</w:t>
            </w:r>
          </w:p>
        </w:tc>
        <w:tc>
          <w:tcPr>
            <w:tcW w:w="946"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17</w:t>
            </w:r>
          </w:p>
        </w:tc>
        <w:tc>
          <w:tcPr>
            <w:tcW w:w="10197"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certificazione rilasciata dal GSE che dia evidenza di origine rinnovabile dell’energia elettrica consumata?</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12"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18</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presenti i dati relativi ai mezzi d'opera impiegati che ne dimostrino la conformità ai vincoli suggeriti?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19</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state adottate le eventuali misure di mitigazione del rischio di adattamento?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20</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relazione geologica e idrogeologica relativa alla pericolosità dell'area attestate l'assenza di condizioni di rischio idrogeologico?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21</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applicabile, è disponibile il Piano di gestione delle Acque meteorilche di dilavamento (AMD)?</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22</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applicabile, sono state ottenute le autorizzazioni allo scarico delle acque reflue?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3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23</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il bilancio idrico delle attività di cantiere?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95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24</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la relazione finale con l’indicazione dei rifiuti prodotti, da cui emerga la destinazione ad una operazione “R” del 70% in peso dei rifiuti da demolizione e costruzione non pericolosi (escluso il materiale allo stato naturale definito alla voce 17 05 04 dell'elenco europeo dei rifiuti istituito dalla decisione 2000/532/CE)?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950"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25</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attivata la procedura di gestione terre e rocce da scavo di cui al D.P.R. n.120/2017?</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26</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disponibili le schede tecniche dei materiali utilizzati?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rHeight w:val="708" w:hRule="atLeast"/>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27</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realizzata, è disponibile la caratterizzazione del sito conforme alle modalità definite dal D. lgs 152/06 Testo unico ambientale, Titolo V Parte Quarta?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28</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Se presentata, è disponibile la deroga al rumore?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
          </w:p>
        </w:tc>
        <w:tc>
          <w:tcPr>
            <w:tcW w:w="946"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29</w:t>
            </w:r>
          </w:p>
        </w:tc>
        <w:tc>
          <w:tcPr>
            <w:tcW w:w="10197"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Se pertinente, sono state adottate le azioni mitigative previste dalla VInCA?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4981" w:type="dxa"/>
            <w:tcBorders>
              <w:top w:val="single" w:sz="6" w:space="0" w:color="000000"/>
              <w:left w:val="single" w:sz="6" w:space="0" w:color="000000"/>
              <w:bottom w:val="single" w:sz="6" w:space="0" w:color="000000"/>
              <w:right w:val="single" w:sz="6"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108"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position w:val="0"/>
                <w:sz w:val="28"/>
                <w:sz w:val="28"/>
                <w:u w:val="none"/>
                <w:vertAlign w:val="baseline"/>
              </w:rPr>
              <w:t xml:space="preserve">Scheda  6 - Servizi informatici di hosting e cloud  </w:t>
            </w:r>
          </w:p>
        </w:tc>
      </w:tr>
      <w:tr>
        <w:trPr>
          <w:trHeight w:val="85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83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 ante</w:t>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Certificazione di sistema di gestione ambientale di tipo ISO 14001 o EMAS rilasciata sotto accreditamento?</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single" w:sz="6" w:space="0" w:color="000000"/>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Il requisito 1 verifica il rispetto del principio DNSH in maniera trasversale per tutti gli obiettivi ambientali rilevanti. Nel caso in cui questo non fosse disponibile, rispondere ai punti successivi</w:t>
            </w:r>
          </w:p>
        </w:tc>
      </w:tr>
      <w:tr>
        <w:trPr>
          <w:trHeight w:val="13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comunicazione del calcolo della media ponderata del potenziale di riscaldamento globale , anche per l'inventario dei refrigeranti utilizzati nei siti o per fornire il servizio, e dimostrazione dell’aderenza al metodo descritto nell'allegato IV del regolamento (UE) n. 517/2014,oppure un sistema di gestione dell'energia (norma ISO 50001) o un sistema di gestione ambientale (sistema EMAS o norma ISO 14001) che riportino l'uso di refrigeranti?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3,4 e 5 sono alternativi</w:t>
            </w:r>
          </w:p>
        </w:tc>
      </w:tr>
      <w:tr>
        <w:trPr>
          <w:trHeight w:val="10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stati svolti degli studi di fattibilità per l’implementazione e il rispetto di tutte le “pratiche attese” incluse nella versione più recente del codice di condotta europeo sull’efficienza energetica dei centri dati e hanno attuato tutte le pratiche attese a cui è stato assegnato il valore massimo di 5?</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che ospitano i servizi di hosting e cloud aderiscono alle pratiche raccomandate contenute nel CEN-CENELEC documento CLC TR50600-99-1 "Data centre facilities and infrastructures- Part 99-1 : Recommended practices for energy management?</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rispettati tutti i Criteri dell'UE applicabili in materia di appalti pubblici verdi per i centri dati, le sale server e servizi cloud e fornite le relative prove di verifica?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che ospitano i servizi di hosting e cloud hanno un piano di gestione dei rifiuti?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in cui fosse verificato il punto 5, i punti 7 e 8 si ritengono automaticamente verificati</w:t>
            </w:r>
          </w:p>
        </w:tc>
      </w:tr>
      <w:tr>
        <w:trPr>
          <w:trHeight w:val="9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dei produttori/fornitori di conformità alla seguente normativa: ecodesign (Regolamento (EU) 2019/424) considerato che la conformità alle normative può essere dimostrata anche tramite il sistema di gestione ISO 30134:2016 certificato da organismi di certificazione accreditati?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58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 conformità delle apparecchiature dei data center è autocertificata dal produttore/fornitore tramite una dichiarazione resa ai sensi del D.P.R. n. 445/2000, adeguandosi alla seguente normativa: REACH (Regolamento (CE) n.1907/2006); RoHS (Direttiva 2011/65/EU e ss.m.i.); compatibilità elettromagnetica (Direttiva 2014/30/UE). La conformità alla norma RoHS può essere dimostrata applicando la norma EN IEC 63000:2018?</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41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 post</w:t>
            </w:r>
          </w:p>
        </w:tc>
        <w:tc>
          <w:tcPr>
            <w:tcW w:w="17309" w:type="dxa"/>
            <w:gridSpan w:val="4"/>
            <w:tcBorders>
              <w:top w:val="single" w:sz="12"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9 e 10 sono alternativi</w:t>
            </w:r>
          </w:p>
        </w:tc>
      </w:tr>
      <w:tr>
        <w:trPr>
          <w:trHeight w:val="1405"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7F7F7F"/>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rispettate tutte le indicazioni definite nei Criteri dell'UE in materia di appalti pubblici verdi per i centri dati, le sale server e i servizi cloud della Commissione Europea applicabili e sono disponibili le relative prove di verifica?</w:t>
            </w:r>
          </w:p>
        </w:tc>
        <w:tc>
          <w:tcPr>
            <w:tcW w:w="2295" w:type="dxa"/>
            <w:tcBorders>
              <w:top w:val="single" w:sz="6" w:space="0" w:color="000000"/>
              <w:left w:val="single" w:sz="6" w:space="0" w:color="000000"/>
              <w:bottom w:val="single" w:sz="6" w:space="0" w:color="7F7F7F"/>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7F7F7F"/>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405" w:hRule="atLeast"/>
        </w:trPr>
        <w:tc>
          <w:tcPr>
            <w:tcW w:w="2220" w:type="dxa"/>
            <w:vMerge w:val="continue"/>
            <w:tcBorders>
              <w:top w:val="nil"/>
              <w:left w:val="single" w:sz="12" w:space="0" w:color="000000"/>
              <w:bottom w:val="single" w:sz="12" w:space="0" w:color="000000"/>
              <w:right w:val="single" w:sz="6" w:space="0" w:color="7F7F7F"/>
            </w:tcBorders>
            <w:shd w:color="EEECE1" w:fill="EEECE1" w:val="clear"/>
            <w:vAlign w:val="center"/>
          </w:tcPr>
          <w:p>
            <w:pPr>
              <w:pStyle w:val="Normal"/>
              <w:spacing w:before="0" w:after="160"/>
              <w:jc w:val="center"/>
              <w:rPr/>
            </w:pPr>
            <w:r>
              <w:rPr/>
            </w:r>
          </w:p>
        </w:tc>
        <w:tc>
          <w:tcPr>
            <w:tcW w:w="945" w:type="dxa"/>
            <w:tcBorders>
              <w:top w:val="single" w:sz="6" w:space="0" w:color="7F7F7F"/>
              <w:left w:val="single" w:sz="6" w:space="0" w:color="7F7F7F"/>
              <w:bottom w:val="single" w:sz="12" w:space="0" w:color="000000"/>
              <w:right w:val="single" w:sz="6" w:space="0" w:color="7F7F7F"/>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8" w:type="dxa"/>
            <w:tcBorders>
              <w:top w:val="single" w:sz="6" w:space="0" w:color="7F7F7F"/>
              <w:left w:val="single" w:sz="6" w:space="0" w:color="7F7F7F"/>
              <w:bottom w:val="single" w:sz="12" w:space="0" w:color="000000"/>
              <w:right w:val="single" w:sz="6" w:space="0" w:color="7F7F7F"/>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L’adesione al European Code of Conduct for Data Centre Energy Efficiency o l’attuazione delle pratiche attese in esso descritte (o nel documento CEN- CENELEC CLC TR50600-99-1 Data centre facilities and infrastructures - Part 99-1: Recommended practices for energy management) è stata verificata da una parte terza indipendente ed è stato svolto un audit almeno ogni tre anni?</w:t>
            </w:r>
          </w:p>
        </w:tc>
        <w:tc>
          <w:tcPr>
            <w:tcW w:w="2295" w:type="dxa"/>
            <w:tcBorders>
              <w:top w:val="single" w:sz="6" w:space="0" w:color="7F7F7F"/>
              <w:left w:val="single" w:sz="6" w:space="0" w:color="7F7F7F"/>
              <w:bottom w:val="single" w:sz="12" w:space="0" w:color="000000"/>
              <w:right w:val="single" w:sz="6" w:space="0" w:color="7F7F7F"/>
            </w:tcBorders>
            <w:vAlign w:val="center"/>
          </w:tcPr>
          <w:p>
            <w:pPr>
              <w:pStyle w:val="Normal"/>
              <w:spacing w:before="0" w:after="160"/>
              <w:jc w:val="center"/>
              <w:rPr/>
            </w:pPr>
            <w:r>
              <w:rPr/>
            </w:r>
          </w:p>
        </w:tc>
        <w:tc>
          <w:tcPr>
            <w:tcW w:w="3871" w:type="dxa"/>
            <w:tcBorders>
              <w:top w:val="single" w:sz="6" w:space="0" w:color="7F7F7F"/>
              <w:left w:val="single" w:sz="6" w:space="0" w:color="7F7F7F"/>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93"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sz w:val="28"/>
                <w:u w:val="none"/>
              </w:rPr>
              <w:t>Scheda  8</w:t>
            </w:r>
            <w:r>
              <w:rPr>
                <w:rFonts w:eastAsia="Calibri" w:cs="Calibri"/>
                <w:b/>
                <w:i/>
                <w:strike w:val="false"/>
                <w:dstrike w:val="false"/>
                <w:color w:val="000000"/>
                <w:position w:val="0"/>
                <w:sz w:val="28"/>
                <w:sz w:val="28"/>
                <w:u w:val="none"/>
                <w:vertAlign w:val="baseline"/>
              </w:rPr>
              <w:t xml:space="preserve"> - Data center</w:t>
            </w:r>
          </w:p>
        </w:tc>
      </w:tr>
      <w:tr>
        <w:trPr>
          <w:trHeight w:val="85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830"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Ex-ante</w:t>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Certificazione di sistema di gestione ambientale di tipo ISO 14001 o EMAS rilasciata sotto accreditamento?</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30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12"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Il requisito 1 verifica il rispetto del principio DNSH in maniera trasversale per tutti gli obiettivi ambientali rilevanti. Nel caso in cui questo non fosse disponibie, rispondere ai punti successivi</w:t>
            </w:r>
          </w:p>
        </w:tc>
      </w:tr>
      <w:tr>
        <w:trPr>
          <w:trHeight w:val="15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comunicazione del calcolo della media ponderata del potenziale di riscaldamento globale, anche per l'inventario dei refrigeranti utilizzati nei siti o per fornire il servizio, e dimostrazione dell’aderenza al metodo descritto nell'allegato IV del regolamento (UE) n. 517/2014, oppure un sistema di gestione dell'energia (norma ISO 50001) oppure un sistema di gestione ambientale (sistema EMAS o norma ISO 14001) che riporti l'uso di refrigeranti?</w:t>
            </w:r>
          </w:p>
        </w:tc>
        <w:tc>
          <w:tcPr>
            <w:tcW w:w="2295" w:type="dxa"/>
            <w:tcBorders>
              <w:top w:val="single" w:sz="6"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
          </w:p>
        </w:tc>
        <w:tc>
          <w:tcPr>
            <w:tcW w:w="3871" w:type="dxa"/>
            <w:tcBorders>
              <w:top w:val="single" w:sz="6" w:space="0" w:color="000000"/>
              <w:left w:val="nil"/>
              <w:bottom w:val="single" w:sz="6" w:space="0" w:color="000000"/>
              <w:right w:val="single" w:sz="12" w:space="0" w:color="000000"/>
            </w:tcBorders>
            <w:shd w:color="D8D8D8" w:fill="D8D8D8" w:val="clear"/>
            <w:vAlign w:val="center"/>
          </w:tcPr>
          <w:p>
            <w:pPr>
              <w:pStyle w:val="Normal"/>
              <w:spacing w:before="0" w:after="160"/>
              <w:jc w:val="center"/>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D8D8D8" w:fill="D8D8D8"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3, 4 e 5 sono alternativi</w:t>
            </w:r>
          </w:p>
        </w:tc>
      </w:tr>
      <w:tr>
        <w:trPr>
          <w:trHeight w:val="10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stati svolti degli studi di fattibilità per l’implementazione e il rispetto di tutte le “pratiche attese” incluse nella versione più recente del codice di condotta europeo sull’efficienza energetica dei centri dati e hanno attuato tutte le pratiche attese a cui è stato assegnato il valore massimo di 5?</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aderiscono alle pratiche raccomandate contenute nel CEN-CENELEC documento CLC TR50600-99-1 "Data centre facilities and infrastructures- Part 99-1 : Recommended practices for energy management?</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rispettati tutti i Criteri dell'UE applicabili in materia di appalti pubblici verdi per i centri dati, le sale server e servizi cloud?</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soli Data Center costruiti ex novo, è stato redatto il report di analisi dell’adattabilità in conformità alle linee guida dell'Appendice A del Regolamento Delegato 2021/2139 (riportate all'appendice 1 della Guida Operativa)?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5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single" w:sz="6" w:space="0" w:color="000000"/>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di opere che superano la soglia dei 10 milioni di euro, rispondere al posto del punto 6 al punto 6.1</w:t>
            </w:r>
          </w:p>
        </w:tc>
      </w:tr>
      <w:tr>
        <w:trPr>
          <w:trHeight w:val="94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6.1</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effettuata una valutazione di vulnerabilità e del rischio per il clima in base agli Orientamenti sulla verifica climatica delle infrastrutture 2021-2027?</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I data center hanno un piano di gestione dei rifiuti?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17309" w:type="dxa"/>
            <w:gridSpan w:val="4"/>
            <w:tcBorders>
              <w:top w:val="single" w:sz="6"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Nel caso in cui fosse verificato il punto 5, i punti  8, 9 e 10 si ritengono automaticamente verificati</w:t>
            </w:r>
          </w:p>
        </w:tc>
      </w:tr>
      <w:tr>
        <w:trPr>
          <w:trHeight w:val="9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una dichiarazione dei produttori/fornitori di conformità alla seguente normativa: ecodesign (Regolamento (EU) 2019/424) considerato che la conformità alle normative può essere dimostrata anche tramite il sistema di gestione ISO 30134:2016 certificato da organismi di certificazione accreditati?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9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l'iscrizione alla piattaforma RAEE in qualità di produttore/distributore dei produttori delle nuove apparecchiature elettriche ed elettroniche acquistate per il data center?</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58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10</w:t>
            </w:r>
          </w:p>
        </w:tc>
        <w:tc>
          <w:tcPr>
            <w:tcW w:w="10198"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 conformità delle apparecchiature dei data center è verificata mediante una dichiarazione del produttore/fornitore di conformità alla seguente normativa: REACH (Regolamento (CE) n.1907/2006); RoHS (Direttiva 2011/65/EU e ss.m.i.); compatibilità elettromagnetica (Direttiva 2014/30/UE). La conformità alla norma RoHS può essere dimostrata applicando la norma EN IEC 63000:2018?</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515" w:hRule="atLeast"/>
        </w:trPr>
        <w:tc>
          <w:tcPr>
            <w:tcW w:w="2220" w:type="dxa"/>
            <w:vMerge w:val="restart"/>
            <w:tcBorders>
              <w:top w:val="single" w:sz="12" w:space="0" w:color="000000"/>
              <w:left w:val="single" w:sz="12" w:space="0" w:color="000000"/>
              <w:bottom w:val="nil"/>
              <w:right w:val="single" w:sz="6" w:space="0" w:color="000000"/>
            </w:tcBorders>
            <w:shd w:color="EEECE1" w:fill="EEECE1" w:val="clear"/>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Ex-post</w:t>
            </w:r>
          </w:p>
        </w:tc>
        <w:tc>
          <w:tcPr>
            <w:tcW w:w="17309" w:type="dxa"/>
            <w:gridSpan w:val="4"/>
            <w:tcBorders>
              <w:top w:val="single" w:sz="12" w:space="0" w:color="000000"/>
              <w:left w:val="single" w:sz="6" w:space="0" w:color="000000"/>
              <w:bottom w:val="single" w:sz="6" w:space="0" w:color="000000"/>
              <w:right w:val="nil"/>
            </w:tcBorders>
            <w:shd w:color="EEECE1" w:fill="EEECE1" w:val="clear"/>
            <w:vAlign w:val="center"/>
          </w:tcPr>
          <w:p>
            <w:pPr>
              <w:pStyle w:val="Normal"/>
              <w:spacing w:before="0" w:after="160"/>
              <w:jc w:val="center"/>
              <w:rPr/>
            </w:pPr>
            <w:r>
              <w:rPr>
                <w:rFonts w:eastAsia="Calibri" w:cs="Calibri"/>
                <w:b w:val="false"/>
                <w:i/>
                <w:strike w:val="false"/>
                <w:dstrike w:val="false"/>
                <w:color w:val="000000"/>
                <w:position w:val="0"/>
                <w:sz w:val="22"/>
                <w:sz w:val="22"/>
                <w:u w:val="none"/>
                <w:vertAlign w:val="baseline"/>
              </w:rPr>
              <w:t>I punti 11 e 12 sono alternativi</w:t>
            </w:r>
          </w:p>
        </w:tc>
      </w:tr>
      <w:tr>
        <w:trPr>
          <w:trHeight w:val="8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11</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L’adesione al European Code of Conduct for Data Centre Energy Efficiency o l’attuazione delle pratiche attese in esso descritte (o nel documento CEN- CENELEC CLC TR50600-99-1 Data centre facilities and infrastructures - Part 99-1: Recommended practices for energy management) è stata verificata da una parte terza indipendente ed è stato svolto un audit almeno ogni tre anni?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88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12</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Sono rispettate tutte le indicazioni definite nei Criteri dell'UE in materia di appalti pubblici verdi per i centri dati, le sale server e i servizi cloud della Commissione Europea applicabili e sono disponibili le relative prove di verifica?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90" w:hRule="atLeast"/>
        </w:trPr>
        <w:tc>
          <w:tcPr>
            <w:tcW w:w="2220" w:type="dxa"/>
            <w:vMerge w:val="continue"/>
            <w:tcBorders>
              <w:top w:val="nil"/>
              <w:left w:val="single" w:sz="12" w:space="0" w:color="000000"/>
              <w:bottom w:val="single" w:sz="12" w:space="0" w:color="000000"/>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13</w:t>
            </w:r>
          </w:p>
        </w:tc>
        <w:tc>
          <w:tcPr>
            <w:tcW w:w="10198"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soli nuovi data center costruiti ex novo, sono state attuate delle soluzioni di adattamento climatico eventualmente individuate?</w:t>
            </w:r>
          </w:p>
        </w:tc>
        <w:tc>
          <w:tcPr>
            <w:tcW w:w="2295" w:type="dxa"/>
            <w:tcBorders>
              <w:top w:val="single" w:sz="6" w:space="0" w:color="000000"/>
              <w:left w:val="single" w:sz="6" w:space="0" w:color="000000"/>
              <w:bottom w:val="single" w:sz="12"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12"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tbl>
      <w:tblPr>
        <w:tblStyle w:val="709"/>
        <w:tblW w:w="19529" w:type="dxa"/>
        <w:jc w:val="left"/>
        <w:tblInd w:w="-93" w:type="dxa"/>
        <w:tblCellMar>
          <w:top w:w="0" w:type="dxa"/>
          <w:left w:w="0" w:type="dxa"/>
          <w:bottom w:w="0" w:type="dxa"/>
          <w:right w:w="0" w:type="dxa"/>
        </w:tblCellMar>
        <w:tblLook w:firstRow="1" w:noVBand="1" w:lastRow="0" w:firstColumn="1" w:lastColumn="0" w:noHBand="0" w:val="04a0"/>
      </w:tblPr>
      <w:tblGrid>
        <w:gridCol w:w="2220"/>
        <w:gridCol w:w="945"/>
        <w:gridCol w:w="10198"/>
        <w:gridCol w:w="2295"/>
        <w:gridCol w:w="3871"/>
      </w:tblGrid>
      <w:tr>
        <w:trPr>
          <w:trHeight w:val="370" w:hRule="atLeast"/>
        </w:trPr>
        <w:tc>
          <w:tcPr>
            <w:tcW w:w="19529" w:type="dxa"/>
            <w:gridSpan w:val="5"/>
            <w:tcBorders>
              <w:top w:val="single" w:sz="12" w:space="0" w:color="000000"/>
              <w:left w:val="single" w:sz="12" w:space="0" w:color="000000"/>
              <w:bottom w:val="nil"/>
              <w:right w:val="nil"/>
            </w:tcBorders>
            <w:shd w:color="F2DBDA" w:fill="F2DBDA" w:val="clear"/>
            <w:vAlign w:val="bottom"/>
          </w:tcPr>
          <w:p>
            <w:pPr>
              <w:pStyle w:val="Normal"/>
              <w:widowControl/>
              <w:bidi w:val="0"/>
              <w:spacing w:lineRule="auto" w:line="259" w:beforeAutospacing="0" w:before="0" w:afterAutospacing="0" w:after="160"/>
              <w:jc w:val="left"/>
              <w:rPr/>
            </w:pPr>
            <w:r>
              <w:rPr>
                <w:rFonts w:eastAsia="Calibri" w:cs="Calibri"/>
                <w:b/>
                <w:i/>
                <w:strike w:val="false"/>
                <w:dstrike w:val="false"/>
                <w:color w:val="000000"/>
                <w:sz w:val="28"/>
                <w:u w:val="none"/>
              </w:rPr>
              <w:t>Scheda  9</w:t>
            </w:r>
            <w:r>
              <w:rPr>
                <w:rFonts w:eastAsia="Calibri" w:cs="Calibri"/>
                <w:b/>
                <w:i/>
                <w:strike w:val="false"/>
                <w:dstrike w:val="false"/>
                <w:color w:val="000000"/>
                <w:position w:val="0"/>
                <w:sz w:val="28"/>
                <w:sz w:val="28"/>
                <w:u w:val="none"/>
                <w:vertAlign w:val="baseline"/>
              </w:rPr>
              <w:t xml:space="preserve"> - Acquisto di veicoli</w:t>
            </w:r>
          </w:p>
        </w:tc>
      </w:tr>
      <w:tr>
        <w:trPr>
          <w:trHeight w:val="855" w:hRule="atLeast"/>
        </w:trPr>
        <w:tc>
          <w:tcPr>
            <w:tcW w:w="2220" w:type="dxa"/>
            <w:tcBorders>
              <w:top w:val="single" w:sz="12" w:space="0" w:color="000000"/>
              <w:left w:val="single" w:sz="12"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Tempo di svolgimento delle verifiche</w:t>
            </w:r>
          </w:p>
        </w:tc>
        <w:tc>
          <w:tcPr>
            <w:tcW w:w="94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n.</w:t>
            </w:r>
          </w:p>
        </w:tc>
        <w:tc>
          <w:tcPr>
            <w:tcW w:w="10198"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Elemento di controllo</w:t>
            </w:r>
          </w:p>
        </w:tc>
        <w:tc>
          <w:tcPr>
            <w:tcW w:w="2295" w:type="dxa"/>
            <w:tcBorders>
              <w:top w:val="single" w:sz="12" w:space="0" w:color="000000"/>
              <w:left w:val="single" w:sz="6" w:space="0" w:color="000000"/>
              <w:bottom w:val="single" w:sz="12" w:space="0" w:color="000000"/>
              <w:right w:val="single" w:sz="6"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Esito</w:t>
              <w:br/>
              <w:t xml:space="preserve"> (Sì/No/Non applicabile)</w:t>
            </w:r>
          </w:p>
        </w:tc>
        <w:tc>
          <w:tcPr>
            <w:tcW w:w="3871" w:type="dxa"/>
            <w:tcBorders>
              <w:top w:val="single" w:sz="12" w:space="0" w:color="000000"/>
              <w:left w:val="single" w:sz="6" w:space="0" w:color="000000"/>
              <w:bottom w:val="single" w:sz="12" w:space="0" w:color="000000"/>
              <w:right w:val="single" w:sz="12" w:space="0" w:color="000000"/>
            </w:tcBorders>
            <w:shd w:color="D8D8D8" w:fill="D8D8D8" w:val="clear"/>
            <w:vAlign w:val="center"/>
          </w:tcPr>
          <w:p>
            <w:pPr>
              <w:pStyle w:val="Normal"/>
              <w:spacing w:before="0" w:after="160"/>
              <w:jc w:val="center"/>
              <w:rPr/>
            </w:pPr>
            <w:r>
              <w:rPr>
                <w:rFonts w:eastAsia="Calibri" w:cs="Calibri"/>
                <w:b/>
                <w:i w:val="false"/>
                <w:strike w:val="false"/>
                <w:dstrike w:val="false"/>
                <w:color w:val="000000"/>
                <w:position w:val="0"/>
                <w:sz w:val="22"/>
                <w:sz w:val="22"/>
                <w:u w:val="none"/>
                <w:vertAlign w:val="baseline"/>
              </w:rPr>
              <w:t>Commento</w:t>
            </w:r>
          </w:p>
        </w:tc>
      </w:tr>
      <w:tr>
        <w:trPr>
          <w:trHeight w:val="1070" w:hRule="atLeast"/>
        </w:trPr>
        <w:tc>
          <w:tcPr>
            <w:tcW w:w="2220" w:type="dxa"/>
            <w:vMerge w:val="restart"/>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1</w:t>
            </w:r>
          </w:p>
        </w:tc>
        <w:tc>
          <w:tcPr>
            <w:tcW w:w="10198"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stato verificato il tagging climatico della misura in oggetto?</w:t>
            </w:r>
          </w:p>
        </w:tc>
        <w:tc>
          <w:tcPr>
            <w:tcW w:w="2295" w:type="dxa"/>
            <w:tcBorders>
              <w:top w:val="single" w:sz="12"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12"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7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2</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verificata la presenza di una lista di esclusione per la misura in oggetto?</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7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3</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stata individuata la categoria di appartenenza dei veicoli e i relativi vincoli applicabili in base alle indicazioni della presente scheda tecnica 9 della Guida Operativa per il rispetto del principio DNSH?</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7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4</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Sono disponibili la documentazione di omologazione o i rapporti di prova rilasciati dal servizio tecnico incaricato dell’omologazione o copia elettronica del Certificato di Conformità del veicolo, contenenti le informazioni attestanti la conformità ai requisiti ambientali  previsti per la tipologia di veicolo oggetto del finanziamento, ai fini del rispetto del Regime 1?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72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5</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 xml:space="preserve">E’ disponibile la documentazione di omologazione o copia elettronica del Certificato di Conformità del veicolo, o la carta di circolazione da cui si evinca che il veicolo è a trazione esclusivamente elettrica (o è alimentato a idrogeno)? </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165"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6</w:t>
            </w:r>
          </w:p>
        </w:tc>
        <w:tc>
          <w:tcPr>
            <w:tcW w:w="10198" w:type="dxa"/>
            <w:tcBorders>
              <w:top w:val="single" w:sz="6" w:space="0" w:color="000000"/>
              <w:left w:val="single" w:sz="6" w:space="0" w:color="000000"/>
              <w:bottom w:val="single" w:sz="6" w:space="0" w:color="000000"/>
              <w:right w:val="nil"/>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veicoli pesanti alimentati a biogas/biometano (GNL/GNC), è disponibile la dichiarazione del costruttore attestante che la compatibilità della tipologia di combustibile di alimentazione del veicolo e della tipologia di biolubrificante utilizzabile, inclusa la conformità  linea con criteri di sostenibilità e di riduzione delle emissioni di gas a effetto serra di cui all'articolo 29, paragrafi da 2 a 7 e paragrafo 10 della Direttiva (UE) 2018/2001 (REDII)?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3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7</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E' disponibile  un contratto stipulato con il sistema collettivo o individuale di raccolta e recupero delle batterie di trazione anche se non specificata l’effettiva modalità di recupero o riutilizzo degli accumulatori?</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1055"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8</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veicoli privi di batteria, con la batteria elettrica fornita separatamente in leasing operativo, il fornitore ha offerto un “piano di manutenzione programmata” della stessa?</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r>
        <w:trPr>
          <w:trHeight w:val="2390" w:hRule="atLeast"/>
        </w:trPr>
        <w:tc>
          <w:tcPr>
            <w:tcW w:w="2220" w:type="dxa"/>
            <w:vMerge w:val="continue"/>
            <w:tcBorders>
              <w:top w:val="nil"/>
              <w:left w:val="single" w:sz="12" w:space="0" w:color="000000"/>
              <w:bottom w:val="nil"/>
              <w:right w:val="single" w:sz="6" w:space="0" w:color="000000"/>
            </w:tcBorders>
            <w:shd w:color="EEECE1" w:fill="EEECE1" w:val="clear"/>
            <w:vAlign w:val="center"/>
          </w:tcPr>
          <w:p>
            <w:pPr>
              <w:pStyle w:val="Normal"/>
              <w:spacing w:before="0" w:after="160"/>
              <w:jc w:val="center"/>
              <w:rPr/>
            </w:pPr>
            <w:r>
              <w:rPr/>
            </w:r>
          </w:p>
        </w:tc>
        <w:tc>
          <w:tcPr>
            <w:tcW w:w="94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9</w:t>
            </w:r>
          </w:p>
        </w:tc>
        <w:tc>
          <w:tcPr>
            <w:tcW w:w="10198"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Fonts w:eastAsia="Calibri" w:cs="Calibri"/>
                <w:b w:val="false"/>
                <w:i w:val="false"/>
                <w:strike w:val="false"/>
                <w:dstrike w:val="false"/>
                <w:color w:val="000000"/>
                <w:position w:val="0"/>
                <w:sz w:val="22"/>
                <w:sz w:val="22"/>
                <w:u w:val="none"/>
                <w:vertAlign w:val="baseline"/>
              </w:rPr>
              <w:t>Per i veicoli delle categorie M1, N1 è disponibile il certificato di omologazione attestante che  i veicoli siano (a) riutilizzabili o riciclabili per almeno l'85 % del peso; e (b) riutilizzabili o recuperabili per almeno il 95 % del peso?</w:t>
              <w:br/>
              <w:t>Per i veicoli  N2, N3 è stato dimostrato che sia stato messo in atto un piano che dimostri che i veicoli sono (a) riutilizzabili o riciclabili per almeno l'85 % del peso; e (b) riutilizzabili o recuperabili per almeno il 95 % del peso?</w:t>
              <w:br/>
              <w:t>Per i veicoli M2 e M3, tale documentazione potrà essere prodotta dai concorrenti su base volontaria ma non rappresenterà un criterio minimo da rispettare in quanto tali categorie di veicoli non sono previste.</w:t>
            </w:r>
          </w:p>
        </w:tc>
        <w:tc>
          <w:tcPr>
            <w:tcW w:w="2295" w:type="dxa"/>
            <w:tcBorders>
              <w:top w:val="single" w:sz="6" w:space="0" w:color="000000"/>
              <w:left w:val="single" w:sz="6" w:space="0" w:color="000000"/>
              <w:bottom w:val="single" w:sz="6" w:space="0" w:color="000000"/>
              <w:right w:val="single" w:sz="6" w:space="0" w:color="000000"/>
            </w:tcBorders>
            <w:vAlign w:val="center"/>
          </w:tcPr>
          <w:p>
            <w:pPr>
              <w:pStyle w:val="Normal"/>
              <w:spacing w:before="0" w:after="160"/>
              <w:jc w:val="center"/>
              <w:rPr/>
            </w:pPr>
            <w:r>
              <w:rPr/>
            </w:r>
          </w:p>
        </w:tc>
        <w:tc>
          <w:tcPr>
            <w:tcW w:w="3871" w:type="dxa"/>
            <w:tcBorders>
              <w:top w:val="single" w:sz="6" w:space="0" w:color="000000"/>
              <w:left w:val="single" w:sz="6" w:space="0" w:color="000000"/>
              <w:bottom w:val="single" w:sz="6" w:space="0" w:color="000000"/>
              <w:right w:val="single" w:sz="12" w:space="0" w:color="000000"/>
            </w:tcBorders>
            <w:vAlign w:val="bottom"/>
          </w:tcPr>
          <w:p>
            <w:pPr>
              <w:pStyle w:val="Normal"/>
              <w:widowControl/>
              <w:bidi w:val="0"/>
              <w:spacing w:lineRule="auto" w:line="259" w:beforeAutospacing="0" w:before="0" w:afterAutospacing="0" w:after="160"/>
              <w:jc w:val="left"/>
              <w:rPr/>
            </w:pPr>
            <w:r>
              <w:rPr/>
            </w:r>
          </w:p>
        </w:tc>
      </w:tr>
    </w:tbl>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ind w:left="1134" w:hanging="1134"/>
        <w:jc w:val="both"/>
        <w:rPr>
          <w:rFonts w:ascii="Calibri Light" w:hAnsi="Calibri Light" w:eastAsia="Times New Roman"/>
          <w:b/>
          <w:b/>
          <w:bCs/>
          <w:color w:val="1F4D78"/>
          <w:sz w:val="30"/>
          <w:szCs w:val="30"/>
        </w:rPr>
      </w:pPr>
      <w:r>
        <w:rPr>
          <w:rFonts w:eastAsia="Times New Roman" w:ascii="Calibri Light" w:hAnsi="Calibri Light"/>
          <w:b/>
          <w:bCs/>
          <w:color w:val="1F4D78"/>
          <w:sz w:val="30"/>
          <w:szCs w:val="30"/>
        </w:rPr>
      </w:r>
    </w:p>
    <w:p>
      <w:pPr>
        <w:pStyle w:val="Normal"/>
        <w:spacing w:lineRule="auto" w:line="240" w:before="0" w:after="160"/>
        <w:ind w:left="0" w:hanging="0"/>
        <w:jc w:val="both"/>
        <w:rPr>
          <w:rFonts w:ascii="Calibri Light" w:hAnsi="Calibri Light" w:eastAsia="Times New Roman"/>
          <w:b/>
          <w:b/>
          <w:bCs/>
          <w:color w:val="1F4D78"/>
          <w:sz w:val="30"/>
          <w:szCs w:val="30"/>
        </w:rPr>
      </w:pPr>
      <w:r>
        <w:rPr/>
      </w:r>
    </w:p>
    <w:sectPr>
      <w:headerReference w:type="default" r:id="rId2"/>
      <w:type w:val="nextPage"/>
      <w:pgSz w:orient="landscape" w:w="11906" w:h="16838"/>
      <w:pgMar w:left="1134" w:right="1134" w:header="708" w:top="1417" w:footer="0" w:bottom="1134"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Liberation Sans">
    <w:altName w:val="Arial"/>
    <w:charset w:val="00"/>
    <w:family w:val="swiss"/>
    <w:pitch w:val="variable"/>
  </w:font>
  <w:font w:name="Calibri Light">
    <w:charset w:val="0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rPr/>
    </w:pPr>
    <w:r>
      <w:rPr/>
      <w:drawing>
        <wp:anchor behindDoc="1" distT="0" distB="0" distL="0" distR="0" simplePos="0" locked="0" layoutInCell="1" allowOverlap="1" relativeHeight="16">
          <wp:simplePos x="0" y="0"/>
          <wp:positionH relativeFrom="page">
            <wp:posOffset>771525</wp:posOffset>
          </wp:positionH>
          <wp:positionV relativeFrom="page">
            <wp:posOffset>466725</wp:posOffset>
          </wp:positionV>
          <wp:extent cx="6133465" cy="447675"/>
          <wp:effectExtent l="0" t="0" r="0" b="0"/>
          <wp:wrapNone/>
          <wp:docPr id="1" name="image1.jpe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
                  <pic:cNvPicPr>
                    <a:picLocks noChangeAspect="1" noChangeArrowheads="1"/>
                  </pic:cNvPicPr>
                </pic:nvPicPr>
                <pic:blipFill>
                  <a:blip r:embed="rId1"/>
                  <a:stretch>
                    <a:fillRect/>
                  </a:stretch>
                </pic:blipFill>
                <pic:spPr bwMode="auto">
                  <a:xfrm>
                    <a:off x="0" y="0"/>
                    <a:ext cx="6133465" cy="447675"/>
                  </a:xfrm>
                  <a:prstGeom prst="rect">
                    <a:avLst/>
                  </a:prstGeom>
                </pic:spPr>
              </pic:pic>
            </a:graphicData>
          </a:graphic>
        </wp:anchor>
      </w:drawing>
    </w:r>
  </w:p>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283"/>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59" w:beforeAutospacing="0" w:before="0" w:afterAutospacing="0" w:after="160"/>
      <w:jc w:val="left"/>
    </w:pPr>
    <w:rPr>
      <w:rFonts w:ascii="Calibri" w:hAnsi="Calibri" w:eastAsia="Calibri" w:cs="Times New Roman" w:asciiTheme="minorHAnsi" w:eastAsiaTheme="minorHAnsi" w:hAnsiTheme="minorHAnsi"/>
      <w:color w:val="auto"/>
      <w:kern w:val="0"/>
      <w:sz w:val="22"/>
      <w:szCs w:val="22"/>
      <w:lang w:val="it-IT" w:eastAsia="en-US" w:bidi="ar-SA"/>
    </w:rPr>
  </w:style>
  <w:style w:type="paragraph" w:styleId="Titolo1">
    <w:name w:val="Heading 1"/>
    <w:basedOn w:val="Normal"/>
    <w:link w:val="678"/>
    <w:uiPriority w:val="9"/>
    <w:qFormat/>
    <w:pPr>
      <w:keepNext w:val="true"/>
      <w:keepLines/>
      <w:spacing w:before="480" w:after="200"/>
      <w:outlineLvl w:val="0"/>
    </w:pPr>
    <w:rPr>
      <w:rFonts w:ascii="Arial" w:hAnsi="Arial" w:eastAsia="Arial" w:cs="Arial"/>
      <w:sz w:val="40"/>
      <w:szCs w:val="40"/>
    </w:rPr>
  </w:style>
  <w:style w:type="paragraph" w:styleId="Titolo2">
    <w:name w:val="Heading 2"/>
    <w:basedOn w:val="Normal"/>
    <w:link w:val="680"/>
    <w:uiPriority w:val="9"/>
    <w:unhideWhenUsed/>
    <w:qFormat/>
    <w:pPr>
      <w:keepNext w:val="true"/>
      <w:keepLines/>
      <w:spacing w:before="360" w:after="200"/>
      <w:outlineLvl w:val="1"/>
    </w:pPr>
    <w:rPr>
      <w:rFonts w:ascii="Arial" w:hAnsi="Arial" w:eastAsia="Arial" w:cs="Arial"/>
      <w:sz w:val="34"/>
    </w:rPr>
  </w:style>
  <w:style w:type="paragraph" w:styleId="Titolo3">
    <w:name w:val="Heading 3"/>
    <w:basedOn w:val="Normal"/>
    <w:link w:val="682"/>
    <w:uiPriority w:val="9"/>
    <w:unhideWhenUsed/>
    <w:qFormat/>
    <w:pPr>
      <w:keepNext w:val="true"/>
      <w:keepLines/>
      <w:spacing w:before="320" w:after="200"/>
      <w:outlineLvl w:val="2"/>
    </w:pPr>
    <w:rPr>
      <w:rFonts w:ascii="Arial" w:hAnsi="Arial" w:eastAsia="Arial" w:cs="Arial"/>
      <w:sz w:val="30"/>
      <w:szCs w:val="30"/>
    </w:rPr>
  </w:style>
  <w:style w:type="paragraph" w:styleId="Titolo4">
    <w:name w:val="Heading 4"/>
    <w:basedOn w:val="Normal"/>
    <w:link w:val="684"/>
    <w:uiPriority w:val="9"/>
    <w:unhideWhenUsed/>
    <w:qFormat/>
    <w:pPr>
      <w:keepNext w:val="true"/>
      <w:keepLines/>
      <w:spacing w:before="320" w:after="200"/>
      <w:outlineLvl w:val="3"/>
    </w:pPr>
    <w:rPr>
      <w:rFonts w:ascii="Arial" w:hAnsi="Arial" w:eastAsia="Arial" w:cs="Arial"/>
      <w:b/>
      <w:bCs/>
      <w:sz w:val="26"/>
      <w:szCs w:val="26"/>
    </w:rPr>
  </w:style>
  <w:style w:type="paragraph" w:styleId="Titolo5">
    <w:name w:val="Heading 5"/>
    <w:basedOn w:val="Normal"/>
    <w:link w:val="686"/>
    <w:uiPriority w:val="9"/>
    <w:unhideWhenUsed/>
    <w:qFormat/>
    <w:pPr>
      <w:keepNext w:val="true"/>
      <w:keepLines/>
      <w:spacing w:before="320" w:after="200"/>
      <w:outlineLvl w:val="4"/>
    </w:pPr>
    <w:rPr>
      <w:rFonts w:ascii="Arial" w:hAnsi="Arial" w:eastAsia="Arial" w:cs="Arial"/>
      <w:b/>
      <w:bCs/>
      <w:sz w:val="24"/>
      <w:szCs w:val="24"/>
    </w:rPr>
  </w:style>
  <w:style w:type="paragraph" w:styleId="Titolo6">
    <w:name w:val="Heading 6"/>
    <w:basedOn w:val="Normal"/>
    <w:link w:val="688"/>
    <w:uiPriority w:val="9"/>
    <w:unhideWhenUsed/>
    <w:qFormat/>
    <w:pPr>
      <w:keepNext w:val="true"/>
      <w:keepLines/>
      <w:spacing w:before="320" w:after="200"/>
      <w:outlineLvl w:val="5"/>
    </w:pPr>
    <w:rPr>
      <w:rFonts w:ascii="Arial" w:hAnsi="Arial" w:eastAsia="Arial" w:cs="Arial"/>
      <w:b/>
      <w:bCs/>
      <w:sz w:val="22"/>
      <w:szCs w:val="22"/>
    </w:rPr>
  </w:style>
  <w:style w:type="paragraph" w:styleId="Titolo7">
    <w:name w:val="Heading 7"/>
    <w:basedOn w:val="Normal"/>
    <w:link w:val="690"/>
    <w:uiPriority w:val="9"/>
    <w:unhideWhenUsed/>
    <w:qFormat/>
    <w:pPr>
      <w:keepNext w:val="true"/>
      <w:keepLines/>
      <w:spacing w:before="320" w:after="200"/>
      <w:outlineLvl w:val="6"/>
    </w:pPr>
    <w:rPr>
      <w:rFonts w:ascii="Arial" w:hAnsi="Arial" w:eastAsia="Arial" w:cs="Arial"/>
      <w:b/>
      <w:bCs/>
      <w:i/>
      <w:iCs/>
      <w:sz w:val="22"/>
      <w:szCs w:val="22"/>
    </w:rPr>
  </w:style>
  <w:style w:type="paragraph" w:styleId="Titolo8">
    <w:name w:val="Heading 8"/>
    <w:basedOn w:val="Normal"/>
    <w:link w:val="692"/>
    <w:uiPriority w:val="9"/>
    <w:unhideWhenUsed/>
    <w:qFormat/>
    <w:pPr>
      <w:keepNext w:val="true"/>
      <w:keepLines/>
      <w:spacing w:before="320" w:after="200"/>
      <w:outlineLvl w:val="7"/>
    </w:pPr>
    <w:rPr>
      <w:rFonts w:ascii="Arial" w:hAnsi="Arial" w:eastAsia="Arial" w:cs="Arial"/>
      <w:i/>
      <w:iCs/>
      <w:sz w:val="22"/>
      <w:szCs w:val="22"/>
    </w:rPr>
  </w:style>
  <w:style w:type="paragraph" w:styleId="Titolo9">
    <w:name w:val="Heading 9"/>
    <w:basedOn w:val="Normal"/>
    <w:link w:val="694"/>
    <w:uiPriority w:val="9"/>
    <w:unhideWhenUsed/>
    <w:qFormat/>
    <w:pPr>
      <w:keepNext w:val="true"/>
      <w:keepLines/>
      <w:spacing w:before="320" w:after="200"/>
      <w:outlineLvl w:val="8"/>
    </w:pPr>
    <w:rPr>
      <w:rFonts w:ascii="Arial" w:hAnsi="Arial" w:eastAsia="Arial" w:cs="Arial"/>
      <w:i/>
      <w:iCs/>
      <w:sz w:val="21"/>
      <w:szCs w:val="21"/>
    </w:rPr>
  </w:style>
  <w:style w:type="character" w:styleId="Heading1Char">
    <w:name w:val="Heading 1 Char"/>
    <w:basedOn w:val="DefaultParagraphFont"/>
    <w:link w:val="677"/>
    <w:uiPriority w:val="9"/>
    <w:qFormat/>
    <w:rPr>
      <w:rFonts w:ascii="Arial" w:hAnsi="Arial" w:eastAsia="Arial" w:cs="Arial"/>
      <w:sz w:val="40"/>
      <w:szCs w:val="40"/>
    </w:rPr>
  </w:style>
  <w:style w:type="character" w:styleId="Heading2Char">
    <w:name w:val="Heading 2 Char"/>
    <w:basedOn w:val="DefaultParagraphFont"/>
    <w:link w:val="679"/>
    <w:uiPriority w:val="9"/>
    <w:qFormat/>
    <w:rPr>
      <w:rFonts w:ascii="Arial" w:hAnsi="Arial" w:eastAsia="Arial" w:cs="Arial"/>
      <w:sz w:val="34"/>
    </w:rPr>
  </w:style>
  <w:style w:type="character" w:styleId="Heading3Char">
    <w:name w:val="Heading 3 Char"/>
    <w:basedOn w:val="DefaultParagraphFont"/>
    <w:link w:val="681"/>
    <w:uiPriority w:val="9"/>
    <w:qFormat/>
    <w:rPr>
      <w:rFonts w:ascii="Arial" w:hAnsi="Arial" w:eastAsia="Arial" w:cs="Arial"/>
      <w:sz w:val="30"/>
      <w:szCs w:val="30"/>
    </w:rPr>
  </w:style>
  <w:style w:type="character" w:styleId="Heading4Char">
    <w:name w:val="Heading 4 Char"/>
    <w:basedOn w:val="DefaultParagraphFont"/>
    <w:link w:val="683"/>
    <w:uiPriority w:val="9"/>
    <w:qFormat/>
    <w:rPr>
      <w:rFonts w:ascii="Arial" w:hAnsi="Arial" w:eastAsia="Arial" w:cs="Arial"/>
      <w:b/>
      <w:bCs/>
      <w:sz w:val="26"/>
      <w:szCs w:val="26"/>
    </w:rPr>
  </w:style>
  <w:style w:type="character" w:styleId="Heading5Char">
    <w:name w:val="Heading 5 Char"/>
    <w:basedOn w:val="DefaultParagraphFont"/>
    <w:link w:val="685"/>
    <w:uiPriority w:val="9"/>
    <w:qFormat/>
    <w:rPr>
      <w:rFonts w:ascii="Arial" w:hAnsi="Arial" w:eastAsia="Arial" w:cs="Arial"/>
      <w:b/>
      <w:bCs/>
      <w:sz w:val="24"/>
      <w:szCs w:val="24"/>
    </w:rPr>
  </w:style>
  <w:style w:type="character" w:styleId="Heading6Char">
    <w:name w:val="Heading 6 Char"/>
    <w:basedOn w:val="DefaultParagraphFont"/>
    <w:link w:val="687"/>
    <w:uiPriority w:val="9"/>
    <w:qFormat/>
    <w:rPr>
      <w:rFonts w:ascii="Arial" w:hAnsi="Arial" w:eastAsia="Arial" w:cs="Arial"/>
      <w:b/>
      <w:bCs/>
      <w:sz w:val="22"/>
      <w:szCs w:val="22"/>
    </w:rPr>
  </w:style>
  <w:style w:type="character" w:styleId="Heading7Char">
    <w:name w:val="Heading 7 Char"/>
    <w:basedOn w:val="DefaultParagraphFont"/>
    <w:link w:val="689"/>
    <w:uiPriority w:val="9"/>
    <w:qFormat/>
    <w:rPr>
      <w:rFonts w:ascii="Arial" w:hAnsi="Arial" w:eastAsia="Arial" w:cs="Arial"/>
      <w:b/>
      <w:bCs/>
      <w:i/>
      <w:iCs/>
      <w:sz w:val="22"/>
      <w:szCs w:val="22"/>
    </w:rPr>
  </w:style>
  <w:style w:type="character" w:styleId="Heading8Char">
    <w:name w:val="Heading 8 Char"/>
    <w:basedOn w:val="DefaultParagraphFont"/>
    <w:link w:val="691"/>
    <w:uiPriority w:val="9"/>
    <w:qFormat/>
    <w:rPr>
      <w:rFonts w:ascii="Arial" w:hAnsi="Arial" w:eastAsia="Arial" w:cs="Arial"/>
      <w:i/>
      <w:iCs/>
      <w:sz w:val="22"/>
      <w:szCs w:val="22"/>
    </w:rPr>
  </w:style>
  <w:style w:type="character" w:styleId="Heading9Char">
    <w:name w:val="Heading 9 Char"/>
    <w:basedOn w:val="DefaultParagraphFont"/>
    <w:link w:val="693"/>
    <w:uiPriority w:val="9"/>
    <w:qFormat/>
    <w:rPr>
      <w:rFonts w:ascii="Arial" w:hAnsi="Arial" w:eastAsia="Arial" w:cs="Arial"/>
      <w:i/>
      <w:iCs/>
      <w:sz w:val="21"/>
      <w:szCs w:val="21"/>
    </w:rPr>
  </w:style>
  <w:style w:type="character" w:styleId="TitleChar">
    <w:name w:val="Title Char"/>
    <w:basedOn w:val="DefaultParagraphFont"/>
    <w:link w:val="697"/>
    <w:uiPriority w:val="10"/>
    <w:qFormat/>
    <w:rPr>
      <w:sz w:val="48"/>
      <w:szCs w:val="48"/>
    </w:rPr>
  </w:style>
  <w:style w:type="character" w:styleId="SubtitleChar">
    <w:name w:val="Subtitle Char"/>
    <w:basedOn w:val="DefaultParagraphFont"/>
    <w:link w:val="699"/>
    <w:uiPriority w:val="11"/>
    <w:qFormat/>
    <w:rPr>
      <w:sz w:val="24"/>
      <w:szCs w:val="24"/>
    </w:rPr>
  </w:style>
  <w:style w:type="character" w:styleId="QuoteChar">
    <w:name w:val="Quote Char"/>
    <w:link w:val="701"/>
    <w:uiPriority w:val="29"/>
    <w:qFormat/>
    <w:rPr>
      <w:i/>
    </w:rPr>
  </w:style>
  <w:style w:type="character" w:styleId="IntenseQuoteChar">
    <w:name w:val="Intense Quote Char"/>
    <w:link w:val="703"/>
    <w:uiPriority w:val="30"/>
    <w:qFormat/>
    <w:rPr>
      <w:i/>
    </w:rPr>
  </w:style>
  <w:style w:type="character" w:styleId="HeaderChar">
    <w:name w:val="Header Char"/>
    <w:basedOn w:val="DefaultParagraphFont"/>
    <w:link w:val="859"/>
    <w:uiPriority w:val="99"/>
    <w:qFormat/>
    <w:rPr/>
  </w:style>
  <w:style w:type="character" w:styleId="FooterChar">
    <w:name w:val="Footer Char"/>
    <w:basedOn w:val="DefaultParagraphFont"/>
    <w:link w:val="861"/>
    <w:uiPriority w:val="99"/>
    <w:qFormat/>
    <w:rPr/>
  </w:style>
  <w:style w:type="character" w:styleId="CaptionChar">
    <w:name w:val="Caption Char"/>
    <w:link w:val="861"/>
    <w:uiPriority w:val="99"/>
    <w:qFormat/>
    <w:rPr/>
  </w:style>
  <w:style w:type="character" w:styleId="CollegamentoInternet">
    <w:name w:val="Collegamento Internet"/>
    <w:uiPriority w:val="99"/>
    <w:unhideWhenUsed/>
    <w:rPr>
      <w:color w:val="0000FF" w:themeColor="hyperlink"/>
      <w:u w:val="single"/>
    </w:rPr>
  </w:style>
  <w:style w:type="character" w:styleId="FootnoteTextChar">
    <w:name w:val="Footnote Text Char"/>
    <w:link w:val="836"/>
    <w:uiPriority w:val="99"/>
    <w:qFormat/>
    <w:rPr>
      <w:sz w:val="18"/>
    </w:rPr>
  </w:style>
  <w:style w:type="character" w:styleId="Richiamoallanotaapidipagina">
    <w:name w:val="Richiamo alla nota a piè di pagina"/>
    <w:rPr>
      <w:vertAlign w:val="superscript"/>
    </w:rPr>
  </w:style>
  <w:style w:type="character" w:styleId="FootnoteCharacters">
    <w:name w:val="Footnote Characters"/>
    <w:uiPriority w:val="99"/>
    <w:unhideWhenUsed/>
    <w:qFormat/>
    <w:rPr>
      <w:vertAlign w:val="superscript"/>
    </w:rPr>
  </w:style>
  <w:style w:type="character" w:styleId="EndnoteTextChar">
    <w:name w:val="Endnote Text Char"/>
    <w:link w:val="839"/>
    <w:uiPriority w:val="99"/>
    <w:qFormat/>
    <w:rPr>
      <w:sz w:val="20"/>
    </w:rPr>
  </w:style>
  <w:style w:type="character" w:styleId="Richiamoallanotadichiusura">
    <w:name w:val="Richiamo alla nota di chiusura"/>
    <w:rPr>
      <w:vertAlign w:val="superscript"/>
    </w:rPr>
  </w:style>
  <w:style w:type="character" w:styleId="EndnoteCharacters">
    <w:name w:val="Endnote Characters"/>
    <w:uiPriority w:val="99"/>
    <w:semiHidden/>
    <w:unhideWhenUsed/>
    <w:qFormat/>
    <w:rPr>
      <w:vertAlign w:val="superscript"/>
    </w:rPr>
  </w:style>
  <w:style w:type="character" w:styleId="DefaultParagraphFont" w:default="1">
    <w:name w:val="Default Paragraph Font"/>
    <w:uiPriority w:val="1"/>
    <w:semiHidden/>
    <w:unhideWhenUsed/>
    <w:qFormat/>
    <w:rPr/>
  </w:style>
  <w:style w:type="character" w:styleId="CorpodeltestoCarattere" w:customStyle="1">
    <w:name w:val="Corpo del testo Carattere"/>
    <w:basedOn w:val="DefaultParagraphFont"/>
    <w:link w:val="857"/>
    <w:uiPriority w:val="99"/>
    <w:qFormat/>
    <w:rPr>
      <w:rFonts w:ascii="Times New Roman" w:hAnsi="Times New Roman" w:eastAsia="Times New Roman" w:cs="Times New Roman"/>
      <w:b/>
      <w:sz w:val="24"/>
      <w:szCs w:val="20"/>
      <w:lang w:eastAsia="it-IT"/>
    </w:rPr>
  </w:style>
  <w:style w:type="character" w:styleId="IntestazioneCarattere" w:customStyle="1">
    <w:name w:val="Intestazione Carattere"/>
    <w:basedOn w:val="DefaultParagraphFont"/>
    <w:link w:val="859"/>
    <w:uiPriority w:val="99"/>
    <w:semiHidden/>
    <w:qFormat/>
    <w:rPr>
      <w:rFonts w:ascii="Calibri" w:hAnsi="Calibri" w:eastAsia="Calibri" w:cs="Times New Roman"/>
    </w:rPr>
  </w:style>
  <w:style w:type="character" w:styleId="PidipaginaCarattere" w:customStyle="1">
    <w:name w:val="Piè di pagina Carattere"/>
    <w:basedOn w:val="DefaultParagraphFont"/>
    <w:link w:val="861"/>
    <w:uiPriority w:val="99"/>
    <w:semiHidden/>
    <w:qFormat/>
    <w:rPr>
      <w:rFonts w:ascii="Calibri" w:hAnsi="Calibri" w:eastAsia="Calibri" w:cs="Times New Roman"/>
    </w:rPr>
  </w:style>
  <w:style w:type="paragraph" w:styleId="Titolo">
    <w:name w:val="Titolo"/>
    <w:basedOn w:val="Normal"/>
    <w:next w:val="Corpodeltesto"/>
    <w:qFormat/>
    <w:pPr>
      <w:keepNext w:val="true"/>
      <w:spacing w:before="240" w:after="120"/>
    </w:pPr>
    <w:rPr>
      <w:rFonts w:ascii="Liberation Sans" w:hAnsi="Liberation Sans" w:eastAsia="Microsoft YaHei" w:cs="Arial Unicode MS"/>
      <w:sz w:val="28"/>
      <w:szCs w:val="28"/>
    </w:rPr>
  </w:style>
  <w:style w:type="paragraph" w:styleId="Corpodeltesto">
    <w:name w:val="Body Text"/>
    <w:basedOn w:val="Normal"/>
    <w:link w:val="858"/>
    <w:uiPriority w:val="99"/>
    <w:pPr>
      <w:spacing w:lineRule="auto" w:line="240" w:before="0" w:after="0"/>
      <w:jc w:val="both"/>
    </w:pPr>
    <w:rPr>
      <w:rFonts w:ascii="Times New Roman" w:hAnsi="Times New Roman" w:eastAsia="Times New Roman"/>
      <w:b/>
      <w:sz w:val="24"/>
      <w:szCs w:val="20"/>
      <w:lang w:eastAsia="it-IT"/>
    </w:rPr>
  </w:style>
  <w:style w:type="paragraph" w:styleId="Elenco">
    <w:name w:val="List"/>
    <w:basedOn w:val="Corpodeltesto"/>
    <w:pPr/>
    <w:rPr>
      <w:rFonts w:cs="Arial Unicode MS"/>
    </w:rPr>
  </w:style>
  <w:style w:type="paragraph" w:styleId="Didascalia">
    <w:name w:val="Caption"/>
    <w:basedOn w:val="Normal"/>
    <w:uiPriority w:val="35"/>
    <w:semiHidden/>
    <w:unhideWhenUsed/>
    <w:qFormat/>
    <w:pPr>
      <w:spacing w:lineRule="auto" w:line="276"/>
    </w:pPr>
    <w:rPr>
      <w:b/>
      <w:bCs/>
      <w:color w:val="4F81BD" w:themeColor="accent1"/>
      <w:sz w:val="18"/>
      <w:szCs w:val="18"/>
    </w:rPr>
  </w:style>
  <w:style w:type="paragraph" w:styleId="Indice">
    <w:name w:val="Indice"/>
    <w:basedOn w:val="Normal"/>
    <w:qFormat/>
    <w:pPr>
      <w:suppressLineNumbers/>
    </w:pPr>
    <w:rPr>
      <w:rFonts w:cs="Arial Unicode MS"/>
    </w:rPr>
  </w:style>
  <w:style w:type="paragraph" w:styleId="ListParagraph">
    <w:name w:val="List Paragraph"/>
    <w:basedOn w:val="Normal"/>
    <w:uiPriority w:val="34"/>
    <w:qFormat/>
    <w:pPr>
      <w:spacing w:before="0" w:after="200"/>
      <w:ind w:left="720" w:hanging="0"/>
      <w:contextualSpacing/>
    </w:pPr>
    <w:rPr/>
  </w:style>
  <w:style w:type="paragraph" w:styleId="NoSpacing">
    <w:name w:val="No Spacing"/>
    <w:uiPriority w:val="1"/>
    <w:qFormat/>
    <w:pPr>
      <w:widowControl/>
      <w:bidi w:val="0"/>
      <w:spacing w:lineRule="auto" w:line="240" w:beforeAutospacing="0" w:before="0" w:afterAutospacing="0" w:after="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Titoloprincipale">
    <w:name w:val="Title"/>
    <w:basedOn w:val="Normal"/>
    <w:link w:val="698"/>
    <w:uiPriority w:val="10"/>
    <w:qFormat/>
    <w:pPr>
      <w:spacing w:before="300" w:after="200"/>
      <w:contextualSpacing/>
    </w:pPr>
    <w:rPr>
      <w:sz w:val="48"/>
      <w:szCs w:val="48"/>
    </w:rPr>
  </w:style>
  <w:style w:type="paragraph" w:styleId="Sottotitolo">
    <w:name w:val="Subtitle"/>
    <w:basedOn w:val="Normal"/>
    <w:link w:val="700"/>
    <w:uiPriority w:val="11"/>
    <w:qFormat/>
    <w:pPr>
      <w:spacing w:before="200" w:after="200"/>
    </w:pPr>
    <w:rPr>
      <w:sz w:val="24"/>
      <w:szCs w:val="24"/>
    </w:rPr>
  </w:style>
  <w:style w:type="paragraph" w:styleId="Quote">
    <w:name w:val="Quote"/>
    <w:basedOn w:val="Normal"/>
    <w:link w:val="702"/>
    <w:uiPriority w:val="29"/>
    <w:qFormat/>
    <w:pPr>
      <w:ind w:left="720" w:right="720" w:hanging="0"/>
    </w:pPr>
    <w:rPr>
      <w:i/>
    </w:rPr>
  </w:style>
  <w:style w:type="paragraph" w:styleId="IntenseQuote">
    <w:name w:val="Intense Quote"/>
    <w:basedOn w:val="Normal"/>
    <w:link w:val="704"/>
    <w:uiPriority w:val="30"/>
    <w:qFormat/>
    <w:pPr>
      <w:pBdr>
        <w:top w:val="single" w:sz="4" w:space="5" w:color="FFFFFF"/>
        <w:left w:val="single" w:sz="4" w:space="10" w:color="FFFFFF"/>
        <w:bottom w:val="single" w:sz="4" w:space="5" w:color="FFFFFF"/>
        <w:right w:val="single" w:sz="4" w:space="10" w:color="FFFFFF"/>
      </w:pBdr>
      <w:shd w:val="clear" w:color="auto" w:fill="F2F2F2"/>
      <w:spacing w:before="0" w:after="200"/>
      <w:ind w:left="720" w:right="720" w:hanging="0"/>
    </w:pPr>
    <w:rPr>
      <w:i/>
    </w:rPr>
  </w:style>
  <w:style w:type="paragraph" w:styleId="Notaapidipagina">
    <w:name w:val="Footnote Text"/>
    <w:basedOn w:val="Normal"/>
    <w:link w:val="837"/>
    <w:uiPriority w:val="99"/>
    <w:semiHidden/>
    <w:unhideWhenUsed/>
    <w:pPr>
      <w:spacing w:lineRule="auto" w:line="240" w:before="0" w:after="40"/>
    </w:pPr>
    <w:rPr>
      <w:sz w:val="18"/>
    </w:rPr>
  </w:style>
  <w:style w:type="paragraph" w:styleId="Notadichiusura">
    <w:name w:val="Endnote Text"/>
    <w:basedOn w:val="Normal"/>
    <w:link w:val="840"/>
    <w:uiPriority w:val="99"/>
    <w:semiHidden/>
    <w:unhideWhenUsed/>
    <w:pPr>
      <w:spacing w:lineRule="auto" w:line="240" w:before="0" w:after="0"/>
    </w:pPr>
    <w:rPr>
      <w:sz w:val="20"/>
    </w:rPr>
  </w:style>
  <w:style w:type="paragraph" w:styleId="Indice1">
    <w:name w:val="TOC 1"/>
    <w:basedOn w:val="Normal"/>
    <w:uiPriority w:val="39"/>
    <w:unhideWhenUsed/>
    <w:pPr>
      <w:spacing w:before="0" w:after="57"/>
      <w:ind w:left="0" w:right="0" w:hanging="0"/>
    </w:pPr>
    <w:rPr/>
  </w:style>
  <w:style w:type="paragraph" w:styleId="Indice2">
    <w:name w:val="TOC 2"/>
    <w:basedOn w:val="Normal"/>
    <w:uiPriority w:val="39"/>
    <w:unhideWhenUsed/>
    <w:pPr>
      <w:spacing w:before="0" w:after="57"/>
      <w:ind w:left="283" w:right="0" w:hanging="0"/>
    </w:pPr>
    <w:rPr/>
  </w:style>
  <w:style w:type="paragraph" w:styleId="Indice3">
    <w:name w:val="TOC 3"/>
    <w:basedOn w:val="Normal"/>
    <w:uiPriority w:val="39"/>
    <w:unhideWhenUsed/>
    <w:pPr>
      <w:spacing w:before="0" w:after="57"/>
      <w:ind w:left="567" w:right="0" w:hanging="0"/>
    </w:pPr>
    <w:rPr/>
  </w:style>
  <w:style w:type="paragraph" w:styleId="Indice4">
    <w:name w:val="TOC 4"/>
    <w:basedOn w:val="Normal"/>
    <w:uiPriority w:val="39"/>
    <w:unhideWhenUsed/>
    <w:pPr>
      <w:spacing w:before="0" w:after="57"/>
      <w:ind w:left="850" w:right="0" w:hanging="0"/>
    </w:pPr>
    <w:rPr/>
  </w:style>
  <w:style w:type="paragraph" w:styleId="Indice5">
    <w:name w:val="TOC 5"/>
    <w:basedOn w:val="Normal"/>
    <w:uiPriority w:val="39"/>
    <w:unhideWhenUsed/>
    <w:pPr>
      <w:spacing w:before="0" w:after="57"/>
      <w:ind w:left="1134" w:right="0" w:hanging="0"/>
    </w:pPr>
    <w:rPr/>
  </w:style>
  <w:style w:type="paragraph" w:styleId="Indice6">
    <w:name w:val="TOC 6"/>
    <w:basedOn w:val="Normal"/>
    <w:uiPriority w:val="39"/>
    <w:unhideWhenUsed/>
    <w:pPr>
      <w:spacing w:before="0" w:after="57"/>
      <w:ind w:left="1417" w:right="0" w:hanging="0"/>
    </w:pPr>
    <w:rPr/>
  </w:style>
  <w:style w:type="paragraph" w:styleId="Indice7">
    <w:name w:val="TOC 7"/>
    <w:basedOn w:val="Normal"/>
    <w:uiPriority w:val="39"/>
    <w:unhideWhenUsed/>
    <w:pPr>
      <w:spacing w:before="0" w:after="57"/>
      <w:ind w:left="1701" w:right="0" w:hanging="0"/>
    </w:pPr>
    <w:rPr/>
  </w:style>
  <w:style w:type="paragraph" w:styleId="Indice8">
    <w:name w:val="TOC 8"/>
    <w:basedOn w:val="Normal"/>
    <w:uiPriority w:val="39"/>
    <w:unhideWhenUsed/>
    <w:pPr>
      <w:spacing w:before="0" w:after="57"/>
      <w:ind w:left="1984" w:right="0" w:hanging="0"/>
    </w:pPr>
    <w:rPr/>
  </w:style>
  <w:style w:type="paragraph" w:styleId="Indice9">
    <w:name w:val="TOC 9"/>
    <w:basedOn w:val="Normal"/>
    <w:uiPriority w:val="39"/>
    <w:unhideWhenUsed/>
    <w:pPr>
      <w:spacing w:before="0" w:after="57"/>
      <w:ind w:left="2268" w:right="0" w:hanging="0"/>
    </w:pPr>
    <w:rPr/>
  </w:style>
  <w:style w:type="paragraph" w:styleId="TOCHeading">
    <w:name w:val="TOC Heading"/>
    <w:uiPriority w:val="39"/>
    <w:unhideWhenUsed/>
    <w:qFormat/>
    <w:pPr>
      <w:widowControl/>
      <w:bidi w:val="0"/>
      <w:spacing w:lineRule="auto" w:line="276" w:beforeAutospacing="0" w:before="0" w:afterAutospacing="0" w:after="200"/>
      <w:jc w:val="left"/>
    </w:pPr>
    <w:rPr>
      <w:rFonts w:ascii="Calibri" w:hAnsi="Calibri" w:eastAsia="Calibri" w:cs="Arial" w:asciiTheme="minorHAnsi" w:cstheme="minorBidi" w:eastAsiaTheme="minorHAnsi" w:hAnsiTheme="minorHAnsi"/>
      <w:color w:val="auto"/>
      <w:kern w:val="0"/>
      <w:sz w:val="22"/>
      <w:szCs w:val="22"/>
      <w:lang w:val="it-IT" w:eastAsia="en-US" w:bidi="ar-SA"/>
    </w:rPr>
  </w:style>
  <w:style w:type="paragraph" w:styleId="Tableoffigures">
    <w:name w:val="table of figures"/>
    <w:basedOn w:val="Normal"/>
    <w:uiPriority w:val="99"/>
    <w:unhideWhenUsed/>
    <w:qFormat/>
    <w:pPr>
      <w:spacing w:before="0" w:afterAutospacing="0" w:after="0"/>
    </w:pPr>
    <w:rPr/>
  </w:style>
  <w:style w:type="paragraph" w:styleId="Intestazioneepidipagina">
    <w:name w:val="Intestazione e piè di pagina"/>
    <w:basedOn w:val="Normal"/>
    <w:qFormat/>
    <w:pPr/>
    <w:rPr/>
  </w:style>
  <w:style w:type="paragraph" w:styleId="Intestazione">
    <w:name w:val="Header"/>
    <w:basedOn w:val="Normal"/>
    <w:link w:val="860"/>
    <w:uiPriority w:val="99"/>
    <w:semiHidden/>
    <w:unhideWhenUsed/>
    <w:pPr>
      <w:tabs>
        <w:tab w:val="clear" w:pos="708"/>
        <w:tab w:val="center" w:pos="4819" w:leader="none"/>
        <w:tab w:val="right" w:pos="9638" w:leader="none"/>
      </w:tabs>
      <w:spacing w:lineRule="auto" w:line="240" w:before="0" w:after="0"/>
    </w:pPr>
    <w:rPr/>
  </w:style>
  <w:style w:type="paragraph" w:styleId="Pidipagina">
    <w:name w:val="Footer"/>
    <w:basedOn w:val="Normal"/>
    <w:link w:val="862"/>
    <w:uiPriority w:val="99"/>
    <w:semiHidden/>
    <w:unhideWhenUsed/>
    <w:pPr>
      <w:tabs>
        <w:tab w:val="clear" w:pos="708"/>
        <w:tab w:val="center" w:pos="4819" w:leader="none"/>
        <w:tab w:val="right" w:pos="9638" w:leader="none"/>
      </w:tabs>
      <w:spacing w:lineRule="auto" w:line="240" w:before="0" w:after="0"/>
    </w:pPr>
    <w:rPr/>
  </w:style>
  <w:style w:type="numbering" w:styleId="NoList" w:default="1">
    <w:name w:val="No List"/>
    <w:uiPriority w:val="99"/>
    <w:semiHidden/>
    <w:unhideWhenUsed/>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xmlns:r="http://schemas.openxmlformats.org/officeDocument/2006/relationships" xmlns:p="http://schemas.openxmlformats.org/presentation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0</TotalTime>
  <Application>LibreOffice/6.4.3.2$Windows_X86_64 LibreOffice_project/747b5d0ebf89f41c860ec2a39efd7cb15b54f2d8</Application>
  <Pages>16</Pages>
  <Words>5168</Words>
  <Characters>29977</Characters>
  <CharactersWithSpaces>35117</CharactersWithSpaces>
  <Paragraphs>413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2024-08-01T09:05:00Z</dcterms:created>
  <dc:creator>michela.bellomo</dc:creator>
  <dc:description/>
  <dc:language>it-IT</dc:language>
  <cp:lastModifiedBy/>
  <dcterms:modified xsi:type="dcterms:W3CDTF">2024-10-17T11:28:34Z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HyperlinksChanged">
    <vt:bool>0</vt:bool>
  </property>
  <property fmtid="{D5CDD505-2E9C-101B-9397-08002B2CF9AE}" pid="4" name="LinksUpToDate">
    <vt:bool>0</vt:bool>
  </property>
  <property fmtid="{D5CDD505-2E9C-101B-9397-08002B2CF9AE}" pid="5" name="ScaleCrop">
    <vt:bool>0</vt:bool>
  </property>
  <property fmtid="{D5CDD505-2E9C-101B-9397-08002B2CF9AE}" pid="6" name="ShareDoc">
    <vt:bool>0</vt:bool>
  </property>
</Properties>
</file>