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7144A9" w:rsidRDefault="007144A9" w:rsidP="007144A9">
      <w:pPr>
        <w:ind w:right="-285"/>
        <w:rPr>
          <w:rFonts w:ascii="Arial" w:hAnsi="Arial" w:cs="Arial"/>
          <w:b/>
        </w:rPr>
      </w:pPr>
      <w:bookmarkStart w:id="0" w:name="_GoBack"/>
      <w:bookmarkEnd w:id="0"/>
      <w:r>
        <w:rPr>
          <w:rFonts w:ascii="Arial" w:hAnsi="Arial" w:cs="Arial"/>
          <w:b/>
        </w:rPr>
        <w:t xml:space="preserve">D.R.S. n.  </w:t>
      </w:r>
      <w:r w:rsidR="00FD1A56">
        <w:rPr>
          <w:rFonts w:ascii="Arial" w:hAnsi="Arial" w:cs="Arial"/>
          <w:b/>
        </w:rPr>
        <w:t>108</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 </w:t>
      </w:r>
      <w:r>
        <w:rPr>
          <w:rFonts w:ascii="Arial" w:hAnsi="Arial" w:cs="Arial"/>
          <w:b/>
        </w:rPr>
        <w:tab/>
      </w:r>
    </w:p>
    <w:p w:rsidR="007144A9" w:rsidRDefault="007144A9" w:rsidP="007144A9">
      <w:pPr>
        <w:tabs>
          <w:tab w:val="left" w:pos="5850"/>
          <w:tab w:val="left" w:pos="6373"/>
        </w:tabs>
        <w:ind w:right="-58"/>
        <w:jc w:val="center"/>
      </w:pPr>
      <w:r>
        <w:rPr>
          <w:rFonts w:ascii="Arial" w:hAnsi="Arial" w:cs="Arial"/>
          <w:b/>
        </w:rPr>
        <w:t>REPUBBLICA  ITALIANA</w:t>
      </w:r>
      <w:r>
        <w:rPr>
          <w:rFonts w:ascii="Arial" w:hAnsi="Arial" w:cs="Arial"/>
        </w:rPr>
        <w:t xml:space="preserve"> </w:t>
      </w:r>
    </w:p>
    <w:p w:rsidR="007144A9" w:rsidRDefault="007144A9" w:rsidP="007144A9">
      <w:pPr>
        <w:tabs>
          <w:tab w:val="left" w:pos="5850"/>
          <w:tab w:val="left" w:pos="6373"/>
        </w:tabs>
        <w:ind w:right="-58"/>
        <w:jc w:val="center"/>
      </w:pPr>
      <w:r>
        <w:rPr>
          <w:rFonts w:ascii="Arial" w:hAnsi="Arial" w:cs="Arial"/>
          <w:b/>
        </w:rPr>
        <w:t>REGI</w:t>
      </w:r>
      <w:r>
        <w:rPr>
          <w:noProof/>
          <w:lang w:eastAsia="it-IT" w:bidi="ar-SA"/>
        </w:rPr>
        <mc:AlternateContent>
          <mc:Choice Requires="wpg">
            <w:drawing>
              <wp:anchor distT="0" distB="0" distL="114935" distR="114935" simplePos="0" relativeHeight="251659264" behindDoc="0" locked="0" layoutInCell="0" allowOverlap="1" wp14:anchorId="4E74AF8B" wp14:editId="6D7F447B">
                <wp:simplePos x="0" y="0"/>
                <wp:positionH relativeFrom="column">
                  <wp:posOffset>2786380</wp:posOffset>
                </wp:positionH>
                <wp:positionV relativeFrom="paragraph">
                  <wp:posOffset>16510</wp:posOffset>
                </wp:positionV>
                <wp:extent cx="494665" cy="681990"/>
                <wp:effectExtent l="0" t="0" r="0" b="0"/>
                <wp:wrapTopAndBottom/>
                <wp:docPr id="1" name="Forma1"/>
                <wp:cNvGraphicFramePr/>
                <a:graphic xmlns:a="http://schemas.openxmlformats.org/drawingml/2006/main">
                  <a:graphicData uri="http://schemas.microsoft.com/office/word/2010/wordprocessingGroup">
                    <wpg:wgp>
                      <wpg:cNvGrpSpPr/>
                      <wpg:grpSpPr>
                        <a:xfrm>
                          <a:off x="0" y="0"/>
                          <a:ext cx="493920" cy="681480"/>
                          <a:chOff x="0" y="0"/>
                          <a:chExt cx="0" cy="0"/>
                        </a:xfrm>
                      </wpg:grpSpPr>
                      <wps:wsp>
                        <wps:cNvPr id="2" name="Rettangolo 2"/>
                        <wps:cNvSpPr/>
                        <wps:spPr>
                          <a:xfrm>
                            <a:off x="0" y="0"/>
                            <a:ext cx="493920" cy="681480"/>
                          </a:xfrm>
                          <a:prstGeom prst="rect">
                            <a:avLst/>
                          </a:prstGeom>
                          <a:solidFill>
                            <a:srgbClr val="FFFFFF"/>
                          </a:solidFill>
                          <a:ln w="0">
                            <a:noFill/>
                          </a:ln>
                        </wps:spPr>
                        <wps:style>
                          <a:lnRef idx="0">
                            <a:scrgbClr r="0" g="0" b="0"/>
                          </a:lnRef>
                          <a:fillRef idx="0">
                            <a:scrgbClr r="0" g="0" b="0"/>
                          </a:fillRef>
                          <a:effectRef idx="0">
                            <a:scrgbClr r="0" g="0" b="0"/>
                          </a:effectRef>
                          <a:fontRef idx="minor"/>
                        </wps:style>
                        <wps:bodyPr/>
                      </wps:wsp>
                      <pic:pic xmlns:pic="http://schemas.openxmlformats.org/drawingml/2006/picture">
                        <pic:nvPicPr>
                          <pic:cNvPr id="3" name="image.jpeg_1"/>
                          <pic:cNvPicPr/>
                        </pic:nvPicPr>
                        <pic:blipFill>
                          <a:blip r:embed="rId7"/>
                          <a:stretch/>
                        </pic:blipFill>
                        <pic:spPr>
                          <a:xfrm>
                            <a:off x="0" y="0"/>
                            <a:ext cx="493920" cy="681480"/>
                          </a:xfrm>
                          <a:prstGeom prst="rect">
                            <a:avLst/>
                          </a:prstGeom>
                          <a:ln w="0">
                            <a:noFill/>
                          </a:ln>
                        </pic:spPr>
                      </pic:pic>
                    </wpg:wgp>
                  </a:graphicData>
                </a:graphic>
              </wp:anchor>
            </w:drawing>
          </mc:Choice>
          <mc:Fallback>
            <w:pict>
              <v:group w14:anchorId="74684BE5" id="Forma1" o:spid="_x0000_s1026" style="position:absolute;margin-left:219.4pt;margin-top:1.3pt;width:38.95pt;height:53.7pt;z-index:251659264;mso-wrap-distance-left:9.05pt;mso-wrap-distance-right:9.05pt" coordsize="0,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" o:allowincell="f">
                <v:rect id="Rettangolo 2" o:spid="_x0000_s1027" style="position:absolute;width:493920;height:681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" stroked="f" strokeweight="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jpeg_1" o:spid="_x0000_s1028" type="#_x0000_t75" style="position:absolute;width:493920;height:6814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" strokeweight="0">
                  <v:imagedata r:id="rId8" o:title=""/>
                </v:shape>
                <w10:wrap type="topAndBottom"/>
              </v:group>
            </w:pict>
          </mc:Fallback>
        </mc:AlternateContent>
      </w:r>
      <w:r>
        <w:rPr>
          <w:rFonts w:ascii="Arial" w:hAnsi="Arial" w:cs="Arial"/>
          <w:b/>
        </w:rPr>
        <w:t>ONE SICILIANA</w:t>
      </w:r>
    </w:p>
    <w:p w:rsidR="007144A9" w:rsidRDefault="007144A9" w:rsidP="007144A9">
      <w:pPr>
        <w:tabs>
          <w:tab w:val="left" w:pos="5850"/>
          <w:tab w:val="left" w:pos="6373"/>
        </w:tabs>
        <w:ind w:right="-58"/>
        <w:jc w:val="center"/>
        <w:rPr>
          <w:rFonts w:ascii="Arial" w:hAnsi="Arial" w:cs="Arial"/>
          <w:b/>
        </w:rPr>
      </w:pPr>
      <w:r>
        <w:rPr>
          <w:rFonts w:ascii="Arial" w:hAnsi="Arial" w:cs="Arial"/>
          <w:b/>
        </w:rPr>
        <w:t>ASSESSORATO REGIONALE DELL’ECONOMIA</w:t>
      </w:r>
    </w:p>
    <w:p w:rsidR="007144A9" w:rsidRDefault="007144A9" w:rsidP="007144A9">
      <w:pPr>
        <w:jc w:val="center"/>
        <w:rPr>
          <w:rFonts w:ascii="Arial" w:hAnsi="Arial" w:cs="Arial"/>
          <w:b/>
          <w:bCs/>
        </w:rPr>
      </w:pPr>
      <w:r>
        <w:rPr>
          <w:rFonts w:ascii="Arial" w:hAnsi="Arial" w:cs="Arial"/>
          <w:b/>
          <w:bCs/>
        </w:rPr>
        <w:t xml:space="preserve">UFFICIO SPECIALE  PER LA GESTIONE E LA LIQUIDAZIONE </w:t>
      </w:r>
    </w:p>
    <w:p w:rsidR="007144A9" w:rsidRDefault="007144A9" w:rsidP="007144A9">
      <w:pPr>
        <w:jc w:val="center"/>
        <w:rPr>
          <w:rFonts w:ascii="Arial" w:hAnsi="Arial" w:cs="Arial"/>
          <w:b/>
          <w:bCs/>
        </w:rPr>
      </w:pPr>
      <w:r>
        <w:rPr>
          <w:rFonts w:ascii="Arial" w:hAnsi="Arial" w:cs="Arial"/>
          <w:b/>
          <w:bCs/>
        </w:rPr>
        <w:t xml:space="preserve">DELLE SOCIETA' A PARTECIPAZIONE PUBBLICA REGIONALE </w:t>
      </w:r>
    </w:p>
    <w:p w:rsidR="007144A9" w:rsidRDefault="007144A9" w:rsidP="007144A9">
      <w:pPr>
        <w:tabs>
          <w:tab w:val="left" w:pos="5850"/>
          <w:tab w:val="left" w:pos="6373"/>
        </w:tabs>
        <w:ind w:right="-58"/>
        <w:jc w:val="center"/>
        <w:rPr>
          <w:rFonts w:ascii="Arial" w:hAnsi="Arial" w:cs="Arial"/>
          <w:b/>
          <w:bCs/>
        </w:rPr>
      </w:pPr>
      <w:r>
        <w:rPr>
          <w:rFonts w:ascii="Arial" w:hAnsi="Arial" w:cs="Arial"/>
          <w:b/>
          <w:bCs/>
        </w:rPr>
        <w:t xml:space="preserve">IL DIRIGENTE RESPONSABILE </w:t>
      </w:r>
    </w:p>
    <w:p w:rsidR="007144A9" w:rsidRDefault="007144A9" w:rsidP="007144A9">
      <w:pPr>
        <w:ind w:left="1843" w:right="-284" w:hanging="1843"/>
        <w:jc w:val="center"/>
        <w:rPr>
          <w:rFonts w:ascii="Arial" w:hAnsi="Arial" w:cs="Arial"/>
        </w:rPr>
      </w:pPr>
    </w:p>
    <w:p w:rsidR="008478A8" w:rsidRDefault="008478A8">
      <w:pPr>
        <w:jc w:val="center"/>
        <w:rPr>
          <w:rFonts w:ascii="Arial" w:hAnsi="Arial" w:cs="Arial"/>
          <w:sz w:val="20"/>
          <w:szCs w:val="20"/>
        </w:rPr>
      </w:pPr>
    </w:p>
    <w:p w:rsidR="008478A8" w:rsidRDefault="00335E7D">
      <w:pPr>
        <w:ind w:right="-113"/>
        <w:jc w:val="both"/>
      </w:pPr>
      <w:r>
        <w:rPr>
          <w:rFonts w:cs="Times New Roman"/>
          <w:b/>
          <w:iCs/>
        </w:rPr>
        <w:t xml:space="preserve">Visto </w:t>
      </w:r>
      <w:r>
        <w:rPr>
          <w:rFonts w:cs="Times New Roman"/>
          <w:iCs/>
        </w:rPr>
        <w:t xml:space="preserve"> lo</w:t>
      </w:r>
      <w:r w:rsidR="00614403">
        <w:rPr>
          <w:rFonts w:cs="Times New Roman"/>
          <w:iCs/>
        </w:rPr>
        <w:t xml:space="preserve"> </w:t>
      </w:r>
      <w:r>
        <w:rPr>
          <w:rFonts w:cs="Times New Roman"/>
          <w:iCs/>
        </w:rPr>
        <w:t xml:space="preserve">Statuto della Regione Siciliana, </w:t>
      </w:r>
      <w:r>
        <w:t xml:space="preserve"> approvato con R.D.L. 15 maggio 1946, n. 455, convertito in legge costituzionale 26 febbraio 1948, n. 2, come modificato dalle leggi costituzionali 23 febbraio 1972, n. 1, 12 aprile 1989, n. 3  e 31 gennaio 2001, n. 2; </w:t>
      </w:r>
    </w:p>
    <w:p w:rsidR="008478A8" w:rsidRDefault="00335E7D">
      <w:pPr>
        <w:ind w:right="-113"/>
        <w:jc w:val="both"/>
      </w:pPr>
      <w:r>
        <w:rPr>
          <w:b/>
          <w:bCs/>
        </w:rPr>
        <w:t>Visto</w:t>
      </w:r>
      <w:r>
        <w:t xml:space="preserve"> il D.P. Regione 28 febbraio 1979 n. 70 che approva il Testo Unico  delle leggi sull’ordinamento del Governo e dell’amministrazione  della regione Siciliana;</w:t>
      </w:r>
    </w:p>
    <w:p w:rsidR="008478A8" w:rsidRDefault="00335E7D">
      <w:pPr>
        <w:pStyle w:val="blocco1riga-1cm"/>
        <w:tabs>
          <w:tab w:val="clear" w:pos="709"/>
        </w:tabs>
        <w:spacing w:after="120"/>
        <w:ind w:left="0" w:firstLine="0"/>
      </w:pPr>
      <w:r>
        <w:rPr>
          <w:rFonts w:ascii="Times New Roman" w:hAnsi="Times New Roman" w:cs="Times New Roman"/>
          <w:b/>
          <w:szCs w:val="24"/>
        </w:rPr>
        <w:t xml:space="preserve">Visto </w:t>
      </w:r>
      <w:r>
        <w:rPr>
          <w:rFonts w:ascii="Times New Roman" w:hAnsi="Times New Roman" w:cs="Times New Roman"/>
          <w:szCs w:val="24"/>
        </w:rPr>
        <w:t xml:space="preserve"> il</w:t>
      </w:r>
      <w:r>
        <w:rPr>
          <w:rFonts w:ascii="Times New Roman" w:hAnsi="Times New Roman" w:cs="Times New Roman"/>
          <w:b/>
          <w:szCs w:val="24"/>
        </w:rPr>
        <w:t xml:space="preserve"> </w:t>
      </w:r>
      <w:r>
        <w:rPr>
          <w:rFonts w:ascii="Times New Roman" w:hAnsi="Times New Roman" w:cs="Times New Roman"/>
          <w:szCs w:val="24"/>
        </w:rPr>
        <w:t>D.Lgs. 23/6/2011, n. 118 e s.m.i. – Disposizioni in materia di armonizzazione dei sistemi contabili e degli schemi di bilancio delle Regioni e degli Enti locali;</w:t>
      </w:r>
    </w:p>
    <w:p w:rsidR="008478A8" w:rsidRDefault="00335E7D">
      <w:pPr>
        <w:pStyle w:val="blocco1riga-1cm"/>
        <w:tabs>
          <w:tab w:val="clear" w:pos="709"/>
        </w:tabs>
        <w:spacing w:after="120"/>
        <w:ind w:left="0" w:firstLine="0"/>
      </w:pPr>
      <w:r>
        <w:rPr>
          <w:rFonts w:ascii="Times New Roman" w:hAnsi="Times New Roman" w:cs="Times New Roman"/>
          <w:b/>
          <w:bCs/>
          <w:color w:val="000000"/>
          <w:szCs w:val="24"/>
        </w:rPr>
        <w:t xml:space="preserve">Visto </w:t>
      </w:r>
      <w:r>
        <w:rPr>
          <w:rFonts w:ascii="Times New Roman" w:hAnsi="Times New Roman" w:cs="Times New Roman"/>
          <w:color w:val="000000"/>
          <w:szCs w:val="24"/>
        </w:rPr>
        <w:t>l’art. 11 della legge regionale 13 gennaio 2015, n. 3 e s.m.i., che disciplina le modalità di applicazione del predetto decreto legislativo n. 118/2011;</w:t>
      </w:r>
    </w:p>
    <w:p w:rsidR="007144A9" w:rsidRPr="007144A9" w:rsidRDefault="007144A9" w:rsidP="007144A9">
      <w:pPr>
        <w:pStyle w:val="Corpodeltesto3"/>
        <w:ind w:right="-113"/>
        <w:rPr>
          <w:rFonts w:eastAsia="Times New Roman" w:cs="Times New Roman"/>
          <w:b/>
          <w:bCs/>
          <w:color w:val="000000"/>
          <w:lang w:bidi="ar-SA"/>
        </w:rPr>
      </w:pPr>
      <w:r w:rsidRPr="007144A9">
        <w:rPr>
          <w:rFonts w:eastAsia="Times New Roman" w:cs="Times New Roman"/>
          <w:b/>
          <w:bCs/>
          <w:color w:val="000000"/>
          <w:lang w:bidi="ar-SA"/>
        </w:rPr>
        <w:t xml:space="preserve">Vista </w:t>
      </w:r>
      <w:r w:rsidRPr="007144A9">
        <w:rPr>
          <w:rFonts w:eastAsia="Times New Roman" w:cs="Times New Roman"/>
          <w:bCs/>
          <w:color w:val="000000"/>
          <w:lang w:bidi="ar-SA"/>
        </w:rPr>
        <w:t>la legge regionale 16 gennaio 2024, n.2 che approva il Bilancio della Regione Siciliana per il triennio 2024-2026;</w:t>
      </w:r>
    </w:p>
    <w:p w:rsidR="007144A9" w:rsidRPr="007144A9" w:rsidRDefault="007144A9" w:rsidP="007144A9">
      <w:pPr>
        <w:pStyle w:val="Corpodeltesto3"/>
        <w:ind w:right="-113"/>
        <w:rPr>
          <w:rFonts w:eastAsia="Times New Roman" w:cs="Times New Roman"/>
          <w:b/>
          <w:bCs/>
          <w:color w:val="000000"/>
          <w:lang w:bidi="ar-SA"/>
        </w:rPr>
      </w:pPr>
      <w:r w:rsidRPr="007144A9">
        <w:rPr>
          <w:rFonts w:eastAsia="Times New Roman" w:cs="Times New Roman"/>
          <w:b/>
          <w:bCs/>
          <w:color w:val="000000"/>
          <w:lang w:bidi="ar-SA"/>
        </w:rPr>
        <w:t xml:space="preserve">Vista </w:t>
      </w:r>
      <w:r w:rsidRPr="007144A9">
        <w:rPr>
          <w:rFonts w:eastAsia="Times New Roman" w:cs="Times New Roman"/>
          <w:bCs/>
          <w:color w:val="000000"/>
          <w:lang w:bidi="ar-SA"/>
        </w:rPr>
        <w:t>la Deliberazione della Giunta Regionale n. 15 del 22 gennaio 2024, avente per oggetto: “Bilancio di previsione della Regione Siciliana 2024/2026. Decreto legislativo 23 giugno 2011, n. 118, e successive modifiche ed integrazioni, Allegato 4/1 – 9.2. Approvazione del Documento tecnico di accompagnamento, Bilancio finanziario gestionale, Perimetro sanitario e Piano degli indicatori”;</w:t>
      </w:r>
    </w:p>
    <w:p w:rsidR="007144A9" w:rsidRPr="007144A9" w:rsidRDefault="007144A9" w:rsidP="007144A9">
      <w:pPr>
        <w:pStyle w:val="Corpodeltesto3"/>
        <w:ind w:right="-113"/>
        <w:rPr>
          <w:rFonts w:eastAsia="Times New Roman" w:cs="Times New Roman"/>
          <w:b/>
          <w:bCs/>
          <w:color w:val="000000"/>
          <w:lang w:bidi="ar-SA"/>
        </w:rPr>
      </w:pPr>
      <w:r w:rsidRPr="007144A9">
        <w:rPr>
          <w:rFonts w:eastAsia="Times New Roman" w:cs="Times New Roman"/>
          <w:b/>
          <w:bCs/>
          <w:color w:val="000000"/>
          <w:lang w:bidi="ar-SA"/>
        </w:rPr>
        <w:t xml:space="preserve">Visto </w:t>
      </w:r>
      <w:r w:rsidRPr="007144A9">
        <w:rPr>
          <w:rFonts w:eastAsia="Times New Roman" w:cs="Times New Roman"/>
          <w:bCs/>
          <w:color w:val="000000"/>
          <w:lang w:bidi="ar-SA"/>
        </w:rPr>
        <w:t>il D.P. Reg. n. 9 del 05 aprile 2022 pubblicato sulla GURS n. 25 Parte I. Rimodulazione degli assetti organizzativi dei Dipartimenti regionali di cui all'articolo 49, comma 1, della legge regionale 7 maggio 2015, n. 9;</w:t>
      </w:r>
    </w:p>
    <w:p w:rsidR="007144A9" w:rsidRPr="007144A9" w:rsidRDefault="007144A9" w:rsidP="007144A9">
      <w:pPr>
        <w:pStyle w:val="Corpodeltesto3"/>
        <w:ind w:right="-113"/>
        <w:rPr>
          <w:rFonts w:eastAsia="Times New Roman" w:cs="Times New Roman"/>
          <w:b/>
          <w:bCs/>
          <w:color w:val="000000"/>
          <w:lang w:bidi="ar-SA"/>
        </w:rPr>
      </w:pPr>
      <w:r w:rsidRPr="007144A9">
        <w:rPr>
          <w:rFonts w:eastAsia="Times New Roman" w:cs="Times New Roman"/>
          <w:b/>
          <w:bCs/>
          <w:color w:val="000000"/>
          <w:lang w:bidi="ar-SA"/>
        </w:rPr>
        <w:t xml:space="preserve">Visti </w:t>
      </w:r>
      <w:r w:rsidRPr="007144A9">
        <w:rPr>
          <w:rFonts w:eastAsia="Times New Roman" w:cs="Times New Roman"/>
          <w:bCs/>
          <w:color w:val="000000"/>
          <w:lang w:bidi="ar-SA"/>
        </w:rPr>
        <w:t>la nota assessoriale prot. n. 6043 del 21.09.2023 del con la quale l’avv. Dorotea Maria Piazza è stata nominata Dirigente responsabile dell’Ufficio Speciale per la chiusura delle liquidazioni dell'Assessorato regionale dell'Economia nonchè il successivo D.A. n. 60 del 10/10/2023 con il quale è stato approvato il contratto con la stessa;</w:t>
      </w:r>
      <w:r w:rsidRPr="007144A9">
        <w:rPr>
          <w:rFonts w:eastAsia="Times New Roman" w:cs="Times New Roman"/>
          <w:b/>
          <w:bCs/>
          <w:color w:val="000000"/>
          <w:lang w:bidi="ar-SA"/>
        </w:rPr>
        <w:t xml:space="preserve"> </w:t>
      </w:r>
    </w:p>
    <w:p w:rsidR="007144A9" w:rsidRPr="007144A9" w:rsidRDefault="007144A9" w:rsidP="007144A9">
      <w:pPr>
        <w:pStyle w:val="Corpodeltesto3"/>
        <w:ind w:right="-113"/>
        <w:rPr>
          <w:rFonts w:eastAsia="Times New Roman" w:cs="Times New Roman"/>
          <w:b/>
          <w:bCs/>
          <w:color w:val="000000"/>
          <w:lang w:bidi="ar-SA"/>
        </w:rPr>
      </w:pPr>
      <w:r w:rsidRPr="007144A9">
        <w:rPr>
          <w:rFonts w:eastAsia="Times New Roman" w:cs="Times New Roman"/>
          <w:b/>
          <w:bCs/>
          <w:color w:val="000000"/>
          <w:lang w:bidi="ar-SA"/>
        </w:rPr>
        <w:t xml:space="preserve">Visto </w:t>
      </w:r>
      <w:r w:rsidRPr="007144A9">
        <w:rPr>
          <w:rFonts w:eastAsia="Times New Roman" w:cs="Times New Roman"/>
          <w:bCs/>
          <w:color w:val="000000"/>
          <w:lang w:bidi="ar-SA"/>
        </w:rPr>
        <w:t>il D.lgs 23/06/2011 n. 118 e s.m.i. – Disposizioni in materia di armonizzazione dei sistemi contabili e degli schemi di bilancio delle Regioni e degli Enti locali;</w:t>
      </w:r>
    </w:p>
    <w:p w:rsidR="007144A9" w:rsidRPr="007144A9" w:rsidRDefault="007144A9" w:rsidP="007144A9">
      <w:pPr>
        <w:pStyle w:val="Corpodeltesto3"/>
        <w:ind w:right="-113"/>
        <w:rPr>
          <w:rFonts w:eastAsia="Times New Roman" w:cs="Times New Roman"/>
          <w:b/>
          <w:bCs/>
          <w:color w:val="000000"/>
          <w:lang w:bidi="ar-SA"/>
        </w:rPr>
      </w:pPr>
      <w:r w:rsidRPr="007144A9">
        <w:rPr>
          <w:rFonts w:eastAsia="Times New Roman" w:cs="Times New Roman"/>
          <w:b/>
          <w:bCs/>
          <w:color w:val="000000"/>
          <w:lang w:bidi="ar-SA"/>
        </w:rPr>
        <w:t xml:space="preserve">Vista </w:t>
      </w:r>
      <w:r w:rsidRPr="007144A9">
        <w:rPr>
          <w:rFonts w:eastAsia="Times New Roman" w:cs="Times New Roman"/>
          <w:bCs/>
          <w:color w:val="000000"/>
          <w:lang w:bidi="ar-SA"/>
        </w:rPr>
        <w:t>la legge regionale 21 novembre 2023 n. 25 che attribuisce, a decorrere dal 1 gennaio 2024, le competenze in materia di gestione delle società attive a partecipazione regionale all’“Ufficio Speciale per la gestione e liquidazione delle società a partecipazione pubblica regionale”;</w:t>
      </w:r>
    </w:p>
    <w:p w:rsidR="007144A9" w:rsidRPr="007144A9" w:rsidRDefault="007144A9" w:rsidP="007144A9">
      <w:pPr>
        <w:pStyle w:val="Corpodeltesto3"/>
        <w:ind w:right="-113"/>
        <w:rPr>
          <w:rFonts w:eastAsia="Times New Roman" w:cs="Times New Roman"/>
          <w:bCs/>
          <w:color w:val="000000"/>
          <w:lang w:bidi="ar-SA"/>
        </w:rPr>
      </w:pPr>
      <w:r w:rsidRPr="007144A9">
        <w:rPr>
          <w:rFonts w:eastAsia="Times New Roman" w:cs="Times New Roman"/>
          <w:b/>
          <w:bCs/>
          <w:color w:val="000000"/>
          <w:lang w:bidi="ar-SA"/>
        </w:rPr>
        <w:t xml:space="preserve">Vista   </w:t>
      </w:r>
      <w:r w:rsidRPr="007144A9">
        <w:rPr>
          <w:rFonts w:eastAsia="Times New Roman" w:cs="Times New Roman"/>
          <w:bCs/>
          <w:color w:val="000000"/>
          <w:lang w:bidi="ar-SA"/>
        </w:rPr>
        <w:t xml:space="preserve">la legge regionale 13/01/2015, n. 3 art. 11 che disciplina le modalità di applicazione del predetto decreto legislativo n. 118/2011;   </w:t>
      </w:r>
    </w:p>
    <w:p w:rsidR="008478A8" w:rsidRDefault="00335E7D">
      <w:pPr>
        <w:pStyle w:val="Corpodeltesto3"/>
        <w:widowControl/>
        <w:ind w:right="-113"/>
      </w:pPr>
      <w:r>
        <w:rPr>
          <w:rFonts w:eastAsia="Times New Roman" w:cs="Times New Roman"/>
          <w:b/>
          <w:bCs/>
          <w:color w:val="000000"/>
          <w:lang w:bidi="ar-SA"/>
        </w:rPr>
        <w:t>Visto</w:t>
      </w:r>
      <w:r>
        <w:rPr>
          <w:rFonts w:eastAsia="Times New Roman" w:cs="Times New Roman"/>
          <w:color w:val="000000"/>
          <w:lang w:bidi="ar-SA"/>
        </w:rPr>
        <w:t xml:space="preserve"> l’art. 2 della L.r. 11 aprile 1981 n. 54 in virtù del quale l’Ente Siciliano per l’Industria (ESPI) ha proceduto alla costituzione della “Risanamento e Sviluppo Attività Industriali spa, RESAIS spa,  quale società  di diritto singolare, per la gestione dei servizi di interesse generale per la Regione, </w:t>
      </w:r>
      <w:r>
        <w:rPr>
          <w:rFonts w:eastAsia="Times New Roman" w:cs="Times New Roman"/>
          <w:color w:val="000000"/>
          <w:lang w:bidi="ar-SA"/>
        </w:rPr>
        <w:lastRenderedPageBreak/>
        <w:t>consistenti in attività di autoproduzione di beni e servizi strumentali allo svolgimento degli enti partecipanti;</w:t>
      </w:r>
    </w:p>
    <w:p w:rsidR="008478A8" w:rsidRDefault="00335E7D">
      <w:pPr>
        <w:pStyle w:val="Corpodeltesto3"/>
        <w:widowControl/>
        <w:ind w:right="-113"/>
      </w:pPr>
      <w:r>
        <w:rPr>
          <w:rFonts w:eastAsia="Times New Roman" w:cs="Times New Roman"/>
          <w:b/>
          <w:bCs/>
          <w:color w:val="000000"/>
          <w:lang w:bidi="ar-SA"/>
        </w:rPr>
        <w:t xml:space="preserve">Considerato </w:t>
      </w:r>
      <w:r>
        <w:rPr>
          <w:rFonts w:eastAsia="Times New Roman" w:cs="Times New Roman"/>
          <w:color w:val="000000"/>
          <w:lang w:bidi="ar-SA"/>
        </w:rPr>
        <w:t xml:space="preserve">che ESPI ha ceduto  nell’anno 2019   tutte le azioni da essa detenute  in RESAIS  spa alla Regione  Siciliana; </w:t>
      </w:r>
    </w:p>
    <w:p w:rsidR="008478A8" w:rsidRDefault="00335E7D">
      <w:pPr>
        <w:pStyle w:val="Corpodeltesto3"/>
        <w:widowControl/>
        <w:ind w:right="-113"/>
      </w:pPr>
      <w:r>
        <w:rPr>
          <w:rFonts w:eastAsia="Times New Roman" w:cs="Times New Roman"/>
          <w:b/>
          <w:bCs/>
          <w:color w:val="000000"/>
          <w:lang w:bidi="ar-SA"/>
        </w:rPr>
        <w:t xml:space="preserve">Visto </w:t>
      </w:r>
      <w:r>
        <w:rPr>
          <w:rFonts w:eastAsia="Times New Roman" w:cs="Times New Roman"/>
          <w:color w:val="000000"/>
          <w:lang w:bidi="ar-SA"/>
        </w:rPr>
        <w:t>l’art. 27 della L.r 16.10.2019 n. 17  che ha previsto la prosecuzione da parte di RESAIS spa, quale società di diritto singolare, a totale partecipazione pubblica regionale,  della gestione dei servizi di interesse generale per la Regione;</w:t>
      </w:r>
    </w:p>
    <w:p w:rsidR="008478A8" w:rsidRDefault="00335E7D">
      <w:pPr>
        <w:pStyle w:val="Corpodeltesto3"/>
        <w:widowControl/>
        <w:ind w:right="-113"/>
      </w:pPr>
      <w:r>
        <w:rPr>
          <w:rFonts w:eastAsia="Times New Roman" w:cs="Times New Roman"/>
          <w:b/>
          <w:bCs/>
          <w:color w:val="000000"/>
          <w:lang w:bidi="ar-SA"/>
        </w:rPr>
        <w:t xml:space="preserve">Vista </w:t>
      </w:r>
      <w:r>
        <w:rPr>
          <w:rFonts w:eastAsia="Times New Roman" w:cs="Times New Roman"/>
          <w:color w:val="000000"/>
          <w:lang w:bidi="ar-SA"/>
        </w:rPr>
        <w:t xml:space="preserve"> la delibera della Giunta regionale n. 492 del 30.12.2019  che ha previsto, nell’ambito della riorganizzazione periodica delle società partecipate  dalle Regione siciliana ed al fine di evitare sovrapposizioni  con le  medesime attività espletate da Servizi Ausiliari Sicilia s.c.pa. (S.A.S. scpa),  il conferimento di RESAIS spa in SAS scpa per creare sinergie amministrative ed organizzative con un amministratore unico;</w:t>
      </w:r>
    </w:p>
    <w:p w:rsidR="008478A8" w:rsidRDefault="00335E7D">
      <w:pPr>
        <w:pStyle w:val="Corpodeltesto3"/>
        <w:widowControl/>
        <w:ind w:right="-113"/>
      </w:pPr>
      <w:r>
        <w:rPr>
          <w:rFonts w:eastAsia="Times New Roman" w:cs="Times New Roman"/>
          <w:b/>
          <w:bCs/>
          <w:color w:val="000000"/>
          <w:lang w:bidi="ar-SA"/>
        </w:rPr>
        <w:t>Visto</w:t>
      </w:r>
      <w:r>
        <w:rPr>
          <w:rFonts w:eastAsia="Times New Roman" w:cs="Times New Roman"/>
          <w:color w:val="000000"/>
          <w:lang w:bidi="ar-SA"/>
        </w:rPr>
        <w:t xml:space="preserve"> l’art. 13, c.4, della L.r. n. 13/2022  e smi che prevede che “ </w:t>
      </w:r>
      <w:r>
        <w:rPr>
          <w:rFonts w:eastAsia="Times New Roman" w:cs="Times New Roman"/>
          <w:i/>
          <w:iCs/>
          <w:color w:val="000000"/>
          <w:lang w:bidi="ar-SA"/>
        </w:rPr>
        <w:t>a</w:t>
      </w:r>
      <w:r>
        <w:rPr>
          <w:rFonts w:eastAsia="Times New Roman" w:cs="Arial"/>
          <w:i/>
          <w:iCs/>
          <w:color w:val="000000"/>
          <w:lang w:bidi="ar-SA"/>
        </w:rPr>
        <w:t>lla Societ</w:t>
      </w:r>
      <w:r>
        <w:rPr>
          <w:i/>
          <w:iCs/>
        </w:rPr>
        <w:t>à S.A.S. S.C.p.A, a decorrere dall' 1 gennaio 2023, sono trasferite le funzioni, le competenze, gli oneri e le risorse attualmente assegnate dalle leggi regionali alla Società Resais S.p.A. Per l'effetto, l'assemblea dei soci della Resais S.p.A è onerata di deliberarne la liquidazione individuando nei soggetti che attualmente ricoprono gli incarichi di amministrazione, di controllo e di revisione, i componenti degli organi della liquidazione”</w:t>
      </w:r>
      <w:r>
        <w:t xml:space="preserve"> ed il successivo c. 4-bis (introdotto con la L.R. n. 16 del 10/08/2022) che prevede che “</w:t>
      </w:r>
      <w:r>
        <w:rPr>
          <w:i/>
          <w:iCs/>
        </w:rPr>
        <w:t>il personale gestito dalla Resais S.p.A. per effetto degli articoli 6 e 8 della legge regionale 20 gennaio 1999, n. 5 e successive modificazioni, dell'articolo 1 della legge regionale 28 novembre 2002, n. 21 e successive modificazioni, del comma 99 dell'articolo 11 della legge regionale 9 maggio 2012, n. 26 e successive modificazioni, del comma 1 dell'articolo 4 della legge regionale 9 maggio 2017, n. 8 e successive modificazioni, dell'articolo 14 della legge regionale 16 ottobre 2019, n. 17 e successive modificazioni e dell'articolo 13 della legge regionale 6 giugno 1975, n. 42 e successive modificazioni è trasferito alla società S.A.S. S.C.p.A. nel rispetto del trattamento economico, normativo e previdenziale posseduto alla data del 31 dicembre 2022, senza nuovi o maggiori oneri a carico del bilancio della Regione</w:t>
      </w:r>
      <w:r>
        <w:t>”</w:t>
      </w:r>
      <w:r>
        <w:rPr>
          <w:i/>
          <w:iCs/>
        </w:rPr>
        <w:t>;</w:t>
      </w:r>
    </w:p>
    <w:p w:rsidR="008478A8" w:rsidRDefault="00335E7D">
      <w:pPr>
        <w:pStyle w:val="Corpodeltesto3"/>
        <w:widowControl/>
        <w:ind w:right="-113"/>
      </w:pPr>
      <w:r>
        <w:rPr>
          <w:b/>
          <w:bCs/>
        </w:rPr>
        <w:t xml:space="preserve">Vista </w:t>
      </w:r>
      <w:r>
        <w:t>la delibera  dell’Assemblea Straordinaria  di RESAIS S.p.A. dei 29/30 giugno 2022 per effetto della quale è stata disposta la liquidazione della predetta società e la nomina del Collegio dei liquidatori, nelle persone dei dott. Rosario Ventimiglia, Domenica Comandatore, Pietro Medici;</w:t>
      </w:r>
    </w:p>
    <w:p w:rsidR="0070109D" w:rsidRPr="0070109D" w:rsidRDefault="0070109D">
      <w:pPr>
        <w:pStyle w:val="Corpodeltesto3"/>
        <w:widowControl/>
        <w:ind w:right="-113"/>
        <w:rPr>
          <w:bCs/>
        </w:rPr>
      </w:pPr>
      <w:r>
        <w:rPr>
          <w:b/>
          <w:bCs/>
        </w:rPr>
        <w:t xml:space="preserve">Vista </w:t>
      </w:r>
      <w:r>
        <w:rPr>
          <w:bCs/>
        </w:rPr>
        <w:t>la nota della SAS S.C.p.A., prot. n. 32408 del 18/07/2024, di richiesta dell’erogazione del contributo necessario per far fronte agli oneri già sostenuti e da sostenere da gennaio a settembre 2024, per i soggetti beneficiari delle indennità ex art. 6 L.R. n. 42/75 e art. 6 L.R. n. 5/99, cosiddetti “prepensionati” ex Resais S.p.A. in liquidazione, per un ammontare complessivo di €</w:t>
      </w:r>
      <w:r w:rsidR="0039255C">
        <w:rPr>
          <w:bCs/>
        </w:rPr>
        <w:t>7.1</w:t>
      </w:r>
      <w:r w:rsidR="00134ECA">
        <w:rPr>
          <w:bCs/>
        </w:rPr>
        <w:t>94</w:t>
      </w:r>
      <w:r w:rsidR="0039255C">
        <w:rPr>
          <w:bCs/>
        </w:rPr>
        <w:t>.</w:t>
      </w:r>
      <w:r w:rsidR="00134ECA">
        <w:rPr>
          <w:bCs/>
        </w:rPr>
        <w:t>146</w:t>
      </w:r>
      <w:r w:rsidR="0039255C">
        <w:rPr>
          <w:bCs/>
        </w:rPr>
        <w:t>,</w:t>
      </w:r>
      <w:r w:rsidR="00134ECA">
        <w:rPr>
          <w:bCs/>
        </w:rPr>
        <w:t>33</w:t>
      </w:r>
      <w:r w:rsidR="0039255C">
        <w:rPr>
          <w:bCs/>
        </w:rPr>
        <w:t>;</w:t>
      </w:r>
    </w:p>
    <w:p w:rsidR="0070109D" w:rsidRDefault="0039255C">
      <w:pPr>
        <w:pStyle w:val="Corpodeltesto3"/>
        <w:widowControl/>
        <w:ind w:right="-113"/>
        <w:rPr>
          <w:b/>
          <w:bCs/>
        </w:rPr>
      </w:pPr>
      <w:r>
        <w:rPr>
          <w:b/>
          <w:bCs/>
        </w:rPr>
        <w:t xml:space="preserve">Vista </w:t>
      </w:r>
      <w:r>
        <w:rPr>
          <w:bCs/>
        </w:rPr>
        <w:t xml:space="preserve">la nota della SAS S.C.p.A., </w:t>
      </w:r>
      <w:r w:rsidRPr="00AF3E11">
        <w:rPr>
          <w:bCs/>
        </w:rPr>
        <w:t xml:space="preserve">prot. n. </w:t>
      </w:r>
      <w:r w:rsidR="00AF3E11" w:rsidRPr="00AF3E11">
        <w:rPr>
          <w:bCs/>
        </w:rPr>
        <w:t>42436</w:t>
      </w:r>
      <w:r w:rsidRPr="00AF3E11">
        <w:rPr>
          <w:bCs/>
        </w:rPr>
        <w:t xml:space="preserve"> del </w:t>
      </w:r>
      <w:r w:rsidR="00AF3E11">
        <w:rPr>
          <w:bCs/>
        </w:rPr>
        <w:t>19/09/2024</w:t>
      </w:r>
      <w:r>
        <w:rPr>
          <w:bCs/>
        </w:rPr>
        <w:t>, con la quale è stato trasmesso il prospetto consuntivo mensile anno 2023 relativo ai prepensionati dal quale emerge che il fabbisogno per l’anno 2023 è risultato pari ad €9.420.910,94, che con D.D.S. 2043</w:t>
      </w:r>
      <w:r w:rsidR="00252EDB">
        <w:rPr>
          <w:bCs/>
        </w:rPr>
        <w:t xml:space="preserve"> del 16/11/2023 è stato disposto l’impegno e la liquidazione della somma di €9.861.222,20 a valere sul capitolo 242523 “</w:t>
      </w:r>
      <w:r w:rsidR="00252EDB" w:rsidRPr="00252EDB">
        <w:rPr>
          <w:bCs/>
          <w:i/>
        </w:rPr>
        <w:t>somma destinata alla gestione del personale già a carico del fondo di cui all’art. 13, lett. A), della Legge Regionale 6 giugno 1975, n. 42 e successive modifiche ed integrazioni compresi gli eventuali oneri derivanti da contenziosi</w:t>
      </w:r>
      <w:r w:rsidR="00252EDB">
        <w:rPr>
          <w:bCs/>
        </w:rPr>
        <w:t>”</w:t>
      </w:r>
      <w:r w:rsidR="006D1026">
        <w:rPr>
          <w:bCs/>
        </w:rPr>
        <w:t>,</w:t>
      </w:r>
      <w:r w:rsidR="00252EDB">
        <w:rPr>
          <w:bCs/>
        </w:rPr>
        <w:t xml:space="preserve"> che, pertanto, risulta un conguaglio a credito della Regione Siciliana di €440.311,26</w:t>
      </w:r>
      <w:r w:rsidR="00BA4E38">
        <w:rPr>
          <w:bCs/>
        </w:rPr>
        <w:t xml:space="preserve"> e che la Società SAS S.C.p.A. propone di detrarre </w:t>
      </w:r>
      <w:r w:rsidR="006D1026">
        <w:rPr>
          <w:bCs/>
        </w:rPr>
        <w:t>il conguaglio a credito</w:t>
      </w:r>
      <w:r w:rsidR="00BA4E38">
        <w:rPr>
          <w:bCs/>
        </w:rPr>
        <w:t xml:space="preserve"> dalle somme di competenza dell’anno 2024</w:t>
      </w:r>
      <w:r w:rsidR="00252EDB">
        <w:rPr>
          <w:bCs/>
        </w:rPr>
        <w:t>;</w:t>
      </w:r>
    </w:p>
    <w:p w:rsidR="00546BFD" w:rsidRPr="00546BFD" w:rsidRDefault="00546BFD">
      <w:pPr>
        <w:pStyle w:val="Corpodeltesto3"/>
        <w:widowControl/>
        <w:ind w:right="-113"/>
        <w:rPr>
          <w:bCs/>
        </w:rPr>
      </w:pPr>
      <w:r>
        <w:rPr>
          <w:b/>
          <w:bCs/>
        </w:rPr>
        <w:t>Vist</w:t>
      </w:r>
      <w:r w:rsidR="00EA6EC2">
        <w:rPr>
          <w:b/>
          <w:bCs/>
        </w:rPr>
        <w:t>o</w:t>
      </w:r>
      <w:r>
        <w:rPr>
          <w:b/>
          <w:bCs/>
        </w:rPr>
        <w:t xml:space="preserve"> </w:t>
      </w:r>
      <w:r w:rsidR="00EA6EC2">
        <w:rPr>
          <w:bCs/>
        </w:rPr>
        <w:t xml:space="preserve">l’art. 3 della L.R. n. 8 dell’11/07/2023, </w:t>
      </w:r>
      <w:r>
        <w:rPr>
          <w:bCs/>
        </w:rPr>
        <w:t>che ha</w:t>
      </w:r>
      <w:r w:rsidR="00EA6EC2">
        <w:rPr>
          <w:bCs/>
        </w:rPr>
        <w:t xml:space="preserve"> </w:t>
      </w:r>
      <w:r>
        <w:rPr>
          <w:bCs/>
        </w:rPr>
        <w:t>istitu</w:t>
      </w:r>
      <w:r w:rsidR="00EA6EC2">
        <w:rPr>
          <w:bCs/>
        </w:rPr>
        <w:t>ito</w:t>
      </w:r>
      <w:r>
        <w:rPr>
          <w:bCs/>
        </w:rPr>
        <w:t xml:space="preserve"> un nuovo capitolo 214113 “</w:t>
      </w:r>
      <w:r w:rsidRPr="00546BFD">
        <w:rPr>
          <w:bCs/>
          <w:i/>
        </w:rPr>
        <w:t xml:space="preserve">fondo destinato alla gestione del personale di cui al comma 4-bis dell’articolo 13 della Legge Regionale 25 </w:t>
      </w:r>
      <w:r w:rsidRPr="00546BFD">
        <w:rPr>
          <w:bCs/>
          <w:i/>
        </w:rPr>
        <w:lastRenderedPageBreak/>
        <w:t>maggio 2022, n. 13</w:t>
      </w:r>
      <w:r>
        <w:rPr>
          <w:bCs/>
        </w:rPr>
        <w:t xml:space="preserve">”, </w:t>
      </w:r>
      <w:r w:rsidR="00EA6EC2">
        <w:rPr>
          <w:bCs/>
        </w:rPr>
        <w:t xml:space="preserve">al quale sono affluite le somme di cui ai </w:t>
      </w:r>
      <w:r>
        <w:rPr>
          <w:bCs/>
        </w:rPr>
        <w:t>capitoli 242523, 242524, 242525, 342534, 344127, 314142;</w:t>
      </w:r>
    </w:p>
    <w:p w:rsidR="008478A8" w:rsidRDefault="00335E7D">
      <w:pPr>
        <w:pStyle w:val="Corpodeltesto3"/>
        <w:widowControl/>
        <w:ind w:right="-113"/>
      </w:pPr>
      <w:r>
        <w:rPr>
          <w:b/>
          <w:bCs/>
        </w:rPr>
        <w:t xml:space="preserve">Considerato </w:t>
      </w:r>
      <w:r>
        <w:t>che le somme disponibili sul capitolo 2</w:t>
      </w:r>
      <w:r w:rsidR="004A2E11">
        <w:t>14113</w:t>
      </w:r>
      <w:r>
        <w:t xml:space="preserve"> ammontano ad </w:t>
      </w:r>
      <w:r w:rsidR="004A2E11">
        <w:rPr>
          <w:bCs/>
        </w:rPr>
        <w:t>€1</w:t>
      </w:r>
      <w:r w:rsidR="000B75D3">
        <w:rPr>
          <w:bCs/>
        </w:rPr>
        <w:t>7</w:t>
      </w:r>
      <w:r w:rsidR="004A2E11">
        <w:rPr>
          <w:bCs/>
        </w:rPr>
        <w:t>.</w:t>
      </w:r>
      <w:r w:rsidR="000B75D3">
        <w:rPr>
          <w:bCs/>
        </w:rPr>
        <w:t>824</w:t>
      </w:r>
      <w:r w:rsidR="004A2E11">
        <w:rPr>
          <w:bCs/>
        </w:rPr>
        <w:t>.</w:t>
      </w:r>
      <w:r w:rsidR="000B75D3">
        <w:rPr>
          <w:bCs/>
        </w:rPr>
        <w:t>336</w:t>
      </w:r>
      <w:r w:rsidR="004A2E11">
        <w:rPr>
          <w:bCs/>
        </w:rPr>
        <w:t>,</w:t>
      </w:r>
      <w:r w:rsidR="000B75D3">
        <w:rPr>
          <w:bCs/>
        </w:rPr>
        <w:t>47</w:t>
      </w:r>
      <w:r>
        <w:t>;</w:t>
      </w:r>
    </w:p>
    <w:p w:rsidR="004A2E11" w:rsidRDefault="004A2E11" w:rsidP="004A2E11">
      <w:pPr>
        <w:pStyle w:val="NormaleWeb"/>
        <w:jc w:val="both"/>
      </w:pPr>
      <w:r>
        <w:rPr>
          <w:b/>
          <w:bCs/>
        </w:rPr>
        <w:t>Ritenuto</w:t>
      </w:r>
      <w:r>
        <w:t>, pertanto, dover procedere al trasferimento in favore di SAS S.C.p.A. della somma</w:t>
      </w:r>
      <w:r w:rsidR="000C1B8D">
        <w:t xml:space="preserve"> lorda di €6.7</w:t>
      </w:r>
      <w:r w:rsidR="00134ECA">
        <w:t>53</w:t>
      </w:r>
      <w:r w:rsidR="000C1B8D">
        <w:t>.</w:t>
      </w:r>
      <w:r w:rsidR="00134ECA">
        <w:t>835</w:t>
      </w:r>
      <w:r w:rsidR="000C1B8D">
        <w:t>,</w:t>
      </w:r>
      <w:r w:rsidR="00134ECA">
        <w:t>07</w:t>
      </w:r>
      <w:r>
        <w:t xml:space="preserve"> </w:t>
      </w:r>
      <w:r w:rsidR="000C1B8D">
        <w:t>afferenti</w:t>
      </w:r>
      <w:r>
        <w:t xml:space="preserve"> gli oneri del personale di cui alla L.R. n. 42/1975 e n. 5/1999</w:t>
      </w:r>
      <w:r w:rsidR="000C1B8D">
        <w:t xml:space="preserve"> relativamente al periodo gennaio-settembre 2024, al netto del conguaglio relativo alle somme dell’anno 2023</w:t>
      </w:r>
      <w:r>
        <w:t xml:space="preserve">; </w:t>
      </w:r>
    </w:p>
    <w:p w:rsidR="004A2E11" w:rsidRDefault="004A2E11" w:rsidP="004A2E11">
      <w:pPr>
        <w:pStyle w:val="western"/>
        <w:spacing w:line="198" w:lineRule="atLeast"/>
        <w:ind w:right="-113"/>
        <w:jc w:val="both"/>
      </w:pPr>
      <w:r>
        <w:rPr>
          <w:b/>
          <w:bCs/>
        </w:rPr>
        <w:t xml:space="preserve">Preso atto </w:t>
      </w:r>
      <w:r>
        <w:t>che la scadenza del debito è prevista nell'anno 202</w:t>
      </w:r>
      <w:r w:rsidR="000C1B8D">
        <w:t>4</w:t>
      </w:r>
      <w:r>
        <w:t xml:space="preserve"> per </w:t>
      </w:r>
      <w:r w:rsidR="00134ECA">
        <w:t xml:space="preserve">€6.753.835,07 </w:t>
      </w:r>
      <w:r>
        <w:t>lordo, di cui €</w:t>
      </w:r>
      <w:r w:rsidR="00134ECA">
        <w:t>270</w:t>
      </w:r>
      <w:r>
        <w:t>.</w:t>
      </w:r>
      <w:r w:rsidR="00134ECA">
        <w:t>153</w:t>
      </w:r>
      <w:r>
        <w:t>,</w:t>
      </w:r>
      <w:r w:rsidR="00134ECA">
        <w:t>40</w:t>
      </w:r>
      <w:r>
        <w:t xml:space="preserve"> per ritenuta d’acconto (IRES) </w:t>
      </w:r>
      <w:r w:rsidR="00D53E7E">
        <w:t xml:space="preserve">del 4% </w:t>
      </w:r>
      <w:r>
        <w:t>– ai sensi dell’art. 28, comma 2, del D.P.R. n. 600/1973;</w:t>
      </w:r>
    </w:p>
    <w:p w:rsidR="004A2E11" w:rsidRDefault="004A2E11" w:rsidP="004A2E11">
      <w:pPr>
        <w:pStyle w:val="western"/>
        <w:spacing w:line="198" w:lineRule="atLeast"/>
        <w:ind w:right="-113"/>
        <w:jc w:val="both"/>
      </w:pPr>
      <w:r>
        <w:rPr>
          <w:b/>
          <w:bCs/>
        </w:rPr>
        <w:t xml:space="preserve">Considerato </w:t>
      </w:r>
      <w:r>
        <w:t>che risulta individuato il creditore certo per cui si può procedere, con riferimento all’esercizio 202</w:t>
      </w:r>
      <w:r w:rsidR="00134ECA">
        <w:t>4</w:t>
      </w:r>
      <w:r>
        <w:t xml:space="preserve">, all’impegno della somma complessiva lorda di </w:t>
      </w:r>
      <w:r w:rsidR="00134ECA">
        <w:t>€</w:t>
      </w:r>
      <w:r w:rsidR="00BA4E38">
        <w:t>7.194.146,33</w:t>
      </w:r>
      <w:r w:rsidR="00134ECA">
        <w:t xml:space="preserve"> </w:t>
      </w:r>
      <w:r>
        <w:t xml:space="preserve">di cui </w:t>
      </w:r>
      <w:r w:rsidR="00BA4E38">
        <w:t>€6.483.681,67</w:t>
      </w:r>
      <w:r w:rsidR="00BA4E38">
        <w:rPr>
          <w:b/>
          <w:bCs/>
        </w:rPr>
        <w:t xml:space="preserve"> </w:t>
      </w:r>
      <w:r w:rsidR="00BA4E38">
        <w:t xml:space="preserve">in favore di S.A.S. S.C.p.A., con sede in Palermo, Piazza Castelnuovo n. 35, C.F. e P.Iva 04567910825, sul capitolo 214113 </w:t>
      </w:r>
      <w:r w:rsidR="00BA4E38">
        <w:rPr>
          <w:bCs/>
        </w:rPr>
        <w:t>“</w:t>
      </w:r>
      <w:r w:rsidR="00BA4E38" w:rsidRPr="00546BFD">
        <w:rPr>
          <w:bCs/>
          <w:i/>
        </w:rPr>
        <w:t>fondo destinato alla gestione del personale di cui al comma 4-bis dell’articolo 13 della Legge Regionale 25 maggio 2022, n. 13</w:t>
      </w:r>
      <w:r w:rsidR="00BA4E38">
        <w:rPr>
          <w:bCs/>
        </w:rPr>
        <w:t>”</w:t>
      </w:r>
      <w:r w:rsidR="00BA4E38">
        <w:t>, del bilancio regionale</w:t>
      </w:r>
      <w:r w:rsidR="006D1026">
        <w:t>;</w:t>
      </w:r>
      <w:r w:rsidR="00BA4E38">
        <w:t xml:space="preserve"> </w:t>
      </w:r>
      <w:r w:rsidR="00134ECA">
        <w:t xml:space="preserve">€270.153,40 </w:t>
      </w:r>
      <w:r>
        <w:t xml:space="preserve">per ritenuta d’acconto (IRES) </w:t>
      </w:r>
      <w:r w:rsidR="00D53E7E">
        <w:t xml:space="preserve">da versare mediante mod. F24 </w:t>
      </w:r>
      <w:r>
        <w:t>ed</w:t>
      </w:r>
      <w:r w:rsidR="00BA4E38">
        <w:t xml:space="preserve"> €440.311,26</w:t>
      </w:r>
      <w:r w:rsidR="00D53E7E">
        <w:t>, quale conguaglio a credito per l’Amministrazione Regionale,</w:t>
      </w:r>
      <w:r w:rsidR="00BA4E38">
        <w:t xml:space="preserve"> da estinguersi mediante compensazione in entrata </w:t>
      </w:r>
      <w:r w:rsidR="006D1026">
        <w:t>con</w:t>
      </w:r>
      <w:r w:rsidR="00BA4E38">
        <w:t xml:space="preserve"> mandato di sole ritenute sul capitolo </w:t>
      </w:r>
      <w:r w:rsidR="007D2F08">
        <w:t xml:space="preserve">di entrata </w:t>
      </w:r>
      <w:r w:rsidR="00BA4E38">
        <w:t>7529 “</w:t>
      </w:r>
      <w:r w:rsidR="00BA4E38" w:rsidRPr="00BA4E38">
        <w:rPr>
          <w:i/>
        </w:rPr>
        <w:t>entrate da rimborsi, recuperi e restituzioni di somme non dovute o incassate in eccesso da imprese</w:t>
      </w:r>
      <w:r w:rsidR="00BA4E38">
        <w:t>”</w:t>
      </w:r>
      <w:r>
        <w:t>;</w:t>
      </w:r>
    </w:p>
    <w:p w:rsidR="004A2E11" w:rsidRDefault="004A2E11" w:rsidP="004A2E11">
      <w:pPr>
        <w:pStyle w:val="western"/>
        <w:spacing w:line="198" w:lineRule="atLeast"/>
        <w:ind w:right="-113"/>
        <w:jc w:val="both"/>
      </w:pPr>
      <w:r>
        <w:rPr>
          <w:b/>
          <w:bCs/>
        </w:rPr>
        <w:t xml:space="preserve">Attestata </w:t>
      </w:r>
      <w:r>
        <w:t>la rispondenza del codice IBAN del beneficiario alla documentazione in possesso di questo ufficio;</w:t>
      </w:r>
    </w:p>
    <w:p w:rsidR="004A2E11" w:rsidRDefault="004A2E11" w:rsidP="004A2E11">
      <w:pPr>
        <w:pStyle w:val="NormaleWeb"/>
        <w:ind w:right="-113"/>
        <w:jc w:val="center"/>
      </w:pPr>
      <w:r>
        <w:rPr>
          <w:b/>
          <w:bCs/>
        </w:rPr>
        <w:t>DECRETA</w:t>
      </w:r>
    </w:p>
    <w:p w:rsidR="004A2E11" w:rsidRDefault="004A2E11" w:rsidP="004A2E11">
      <w:pPr>
        <w:pStyle w:val="NormaleWeb"/>
        <w:ind w:right="-113"/>
        <w:jc w:val="both"/>
      </w:pPr>
      <w:r>
        <w:rPr>
          <w:b/>
          <w:bCs/>
        </w:rPr>
        <w:t xml:space="preserve">ART. 1. </w:t>
      </w:r>
      <w:r>
        <w:t>Per le finalità sopra descritte, al fine di consentire il pagamento degli oneri del personale ex RESAIS S.p.A. da parte della S.A.S. S.C.p.A. alla quale è stato trasferita la relativa gestione, è disposto, con riferimento all’esercizio 202</w:t>
      </w:r>
      <w:r w:rsidR="008F1659">
        <w:t>4</w:t>
      </w:r>
      <w:r>
        <w:t xml:space="preserve">, l’impegno </w:t>
      </w:r>
      <w:r w:rsidR="00D53E7E">
        <w:t xml:space="preserve">e la liquidazione </w:t>
      </w:r>
      <w:r>
        <w:t xml:space="preserve">della somma complessiva lorda </w:t>
      </w:r>
      <w:r w:rsidR="007D2F08">
        <w:t>di €7.194.146,33 di cui €6.483.681,67</w:t>
      </w:r>
      <w:r w:rsidR="007D2F08">
        <w:rPr>
          <w:b/>
          <w:bCs/>
        </w:rPr>
        <w:t xml:space="preserve"> </w:t>
      </w:r>
      <w:r w:rsidR="007D2F08">
        <w:t xml:space="preserve">in favore di S.A.S. S.C.p.A., con sede in Palermo, Piazza Castelnuovo n. 35, C.F. e P.Iva 04567910825, sul capitolo 214113 </w:t>
      </w:r>
      <w:r w:rsidR="007D2F08">
        <w:rPr>
          <w:bCs/>
        </w:rPr>
        <w:t>“</w:t>
      </w:r>
      <w:r w:rsidR="007D2F08" w:rsidRPr="00546BFD">
        <w:rPr>
          <w:bCs/>
          <w:i/>
        </w:rPr>
        <w:t>fondo destinato alla gestione del personale di cui al comma 4-bis dell’articolo 13 della Legge Regionale 25 maggio 2022, n. 13</w:t>
      </w:r>
      <w:r w:rsidR="007D2F08">
        <w:rPr>
          <w:bCs/>
        </w:rPr>
        <w:t>”</w:t>
      </w:r>
      <w:r w:rsidR="007D2F08">
        <w:t xml:space="preserve">, del bilancio regionale, cod. fin. </w:t>
      </w:r>
      <w:r w:rsidR="007D2F08" w:rsidRPr="00D8172A">
        <w:t>U.1.04.03.01.001</w:t>
      </w:r>
      <w:r w:rsidR="006D1026">
        <w:t>;</w:t>
      </w:r>
      <w:r w:rsidR="007D2F08">
        <w:t xml:space="preserve"> €270.153,40 per ritenuta d’acconto (IRES)</w:t>
      </w:r>
      <w:r w:rsidR="00D53E7E" w:rsidRPr="00D53E7E">
        <w:t xml:space="preserve"> </w:t>
      </w:r>
      <w:r w:rsidR="00D53E7E">
        <w:t xml:space="preserve">da versare mediante mod. F24 ed €440.311,26, quale conguaglio a credito per l’Amministrazione Regionale, </w:t>
      </w:r>
      <w:r w:rsidR="007D2F08">
        <w:t xml:space="preserve">da estinguersi mediante compensazione in entrata </w:t>
      </w:r>
      <w:r w:rsidR="006D1026">
        <w:t>con</w:t>
      </w:r>
      <w:r w:rsidR="007D2F08">
        <w:t xml:space="preserve"> mandato di sole ritenute sul capitolo di entrata 7529 “</w:t>
      </w:r>
      <w:r w:rsidR="007D2F08" w:rsidRPr="00BA4E38">
        <w:rPr>
          <w:i/>
        </w:rPr>
        <w:t>entrate da rimborsi, recuperi e restituzioni di somme non dovute o incassate in eccesso da imprese</w:t>
      </w:r>
      <w:r w:rsidR="007D2F08">
        <w:t>”.</w:t>
      </w:r>
    </w:p>
    <w:p w:rsidR="004A2E11" w:rsidRDefault="00D53E7E" w:rsidP="004A2E11">
      <w:pPr>
        <w:pStyle w:val="NormaleWeb"/>
        <w:ind w:right="-113"/>
        <w:jc w:val="both"/>
      </w:pPr>
      <w:r>
        <w:rPr>
          <w:b/>
          <w:bCs/>
        </w:rPr>
        <w:t>ART. 2</w:t>
      </w:r>
      <w:r w:rsidR="004A2E11">
        <w:t xml:space="preserve"> Al pagamento si provvederà </w:t>
      </w:r>
      <w:r>
        <w:t>come di seguito specificato: €6.483.679,67</w:t>
      </w:r>
      <w:r>
        <w:rPr>
          <w:b/>
          <w:bCs/>
        </w:rPr>
        <w:t xml:space="preserve"> </w:t>
      </w:r>
      <w:r w:rsidR="004A2E11">
        <w:t>mediante l'emissione di mandato di pagamento in favore di S.A.S. S.p.A., da accreditare sul conto corrente bancario dalla stessa intrattenut</w:t>
      </w:r>
      <w:r w:rsidR="007D2F08">
        <w:t>o presso Banca Unicredit S.p.A.;</w:t>
      </w:r>
      <w:r w:rsidR="004A2E11">
        <w:t xml:space="preserve"> </w:t>
      </w:r>
      <w:r>
        <w:t xml:space="preserve">€270.153,40 quale </w:t>
      </w:r>
      <w:r w:rsidR="008F1659">
        <w:t>ritenut</w:t>
      </w:r>
      <w:r>
        <w:t>a</w:t>
      </w:r>
      <w:r w:rsidR="007D2F08" w:rsidRPr="007D2F08">
        <w:t xml:space="preserve"> </w:t>
      </w:r>
      <w:r w:rsidR="007D2F08">
        <w:t>d’acconto (IRES)</w:t>
      </w:r>
      <w:r w:rsidR="004A2E11">
        <w:t xml:space="preserve"> </w:t>
      </w:r>
      <w:r>
        <w:t>che verrà</w:t>
      </w:r>
      <w:r w:rsidR="006D1026">
        <w:t xml:space="preserve"> v</w:t>
      </w:r>
      <w:r w:rsidR="007D2F08">
        <w:t>ersat</w:t>
      </w:r>
      <w:r>
        <w:t>a</w:t>
      </w:r>
      <w:r w:rsidR="007D2F08">
        <w:t xml:space="preserve"> mediante mod. F24;</w:t>
      </w:r>
      <w:r w:rsidR="004A2E11">
        <w:t xml:space="preserve"> € 2,00 per imposta di bollo, da estinguere mediante versamento in entrata al capitolo 1205, capo 8, art. 2, in favore della Regione Siciliana</w:t>
      </w:r>
      <w:r w:rsidR="007D2F08">
        <w:t xml:space="preserve"> ed €440.311,26</w:t>
      </w:r>
      <w:r>
        <w:t xml:space="preserve">, quale conguaglio a credito per l’Amministrazione Regionale, </w:t>
      </w:r>
      <w:r w:rsidR="007D2F08">
        <w:t xml:space="preserve">da estinguersi mediante compensazione in entrata </w:t>
      </w:r>
      <w:r w:rsidR="006D1026">
        <w:t>con</w:t>
      </w:r>
      <w:r w:rsidR="007D2F08">
        <w:t xml:space="preserve"> mandato di sole ritenute sul capitolo di entrata 7529</w:t>
      </w:r>
      <w:r>
        <w:t xml:space="preserve"> “</w:t>
      </w:r>
      <w:r w:rsidRPr="00BA4E38">
        <w:rPr>
          <w:i/>
        </w:rPr>
        <w:t>entrate da rimborsi, recuperi e restituzioni di somme non dovute o incassate in eccesso da imprese</w:t>
      </w:r>
      <w:r>
        <w:t>”</w:t>
      </w:r>
      <w:r w:rsidR="007D2F08">
        <w:t>.</w:t>
      </w:r>
    </w:p>
    <w:p w:rsidR="008F1659" w:rsidRPr="000B75D3" w:rsidRDefault="008F1659" w:rsidP="008F1659">
      <w:pPr>
        <w:pStyle w:val="blocco1riga-1cm"/>
        <w:spacing w:after="120"/>
        <w:ind w:left="0" w:firstLine="0"/>
        <w:rPr>
          <w:rFonts w:ascii="Times New Roman" w:hAnsi="Times New Roman" w:cs="Times New Roman"/>
          <w:color w:val="000000"/>
          <w:lang w:eastAsia="it-IT"/>
        </w:rPr>
      </w:pPr>
      <w:r w:rsidRPr="000B75D3">
        <w:rPr>
          <w:rFonts w:ascii="Times New Roman" w:hAnsi="Times New Roman" w:cs="Times New Roman"/>
          <w:b/>
          <w:color w:val="000000"/>
          <w:lang w:eastAsia="it-IT"/>
        </w:rPr>
        <w:lastRenderedPageBreak/>
        <w:t xml:space="preserve">ART. </w:t>
      </w:r>
      <w:r w:rsidR="00D53E7E">
        <w:rPr>
          <w:rFonts w:ascii="Times New Roman" w:hAnsi="Times New Roman" w:cs="Times New Roman"/>
          <w:b/>
          <w:color w:val="000000"/>
          <w:lang w:eastAsia="it-IT"/>
        </w:rPr>
        <w:t>3</w:t>
      </w:r>
      <w:r w:rsidRPr="000B75D3">
        <w:rPr>
          <w:rFonts w:ascii="Times New Roman" w:hAnsi="Times New Roman" w:cs="Times New Roman"/>
          <w:color w:val="000000"/>
          <w:lang w:eastAsia="it-IT"/>
        </w:rPr>
        <w:t xml:space="preserve"> Il presente decreto è trasmesso al responsabile del procedimento di pubblicazione in applicazione del comma 5 dell’art. 68 della legge regionale 12 agosto 2014, n. 21, come modificato dal comma 6 dell’art. 98 della legge regionale 7 maggio 2015, n. 9.  </w:t>
      </w:r>
    </w:p>
    <w:p w:rsidR="008F1659" w:rsidRPr="000B75D3" w:rsidRDefault="008F1659" w:rsidP="008F1659">
      <w:pPr>
        <w:pStyle w:val="blocco1riga-1cm"/>
        <w:spacing w:after="120"/>
        <w:ind w:left="0" w:firstLine="0"/>
        <w:rPr>
          <w:rFonts w:ascii="Times New Roman" w:hAnsi="Times New Roman" w:cs="Times New Roman"/>
          <w:color w:val="000000"/>
          <w:lang w:eastAsia="it-IT"/>
        </w:rPr>
      </w:pPr>
      <w:r w:rsidRPr="000B75D3">
        <w:rPr>
          <w:rFonts w:ascii="Times New Roman" w:hAnsi="Times New Roman" w:cs="Times New Roman"/>
          <w:b/>
          <w:color w:val="000000"/>
          <w:lang w:eastAsia="it-IT"/>
        </w:rPr>
        <w:t xml:space="preserve">ART. </w:t>
      </w:r>
      <w:r w:rsidR="00D53E7E">
        <w:rPr>
          <w:rFonts w:ascii="Times New Roman" w:hAnsi="Times New Roman" w:cs="Times New Roman"/>
          <w:b/>
          <w:color w:val="000000"/>
          <w:lang w:eastAsia="it-IT"/>
        </w:rPr>
        <w:t>4</w:t>
      </w:r>
      <w:r w:rsidRPr="000B75D3">
        <w:rPr>
          <w:rFonts w:ascii="Times New Roman" w:hAnsi="Times New Roman" w:cs="Times New Roman"/>
          <w:color w:val="000000"/>
          <w:lang w:eastAsia="it-IT"/>
        </w:rPr>
        <w:t xml:space="preserve"> Il presente decreto è trasmesso per la registrazione alla Ragioneria centrale dell’Assessorato dell’Economia, ai sensi dell'art.9 della legge regionale 15 aprile 2021, n. 9. </w:t>
      </w:r>
    </w:p>
    <w:p w:rsidR="008F1659" w:rsidRPr="008F1659" w:rsidRDefault="008F1659" w:rsidP="008F1659">
      <w:pPr>
        <w:widowControl/>
        <w:spacing w:after="240"/>
        <w:jc w:val="both"/>
        <w:rPr>
          <w:rFonts w:eastAsia="Times New Roman" w:cs="Times New Roman"/>
          <w:lang w:bidi="ar-SA"/>
        </w:rPr>
      </w:pPr>
      <w:r w:rsidRPr="008F1659">
        <w:rPr>
          <w:rFonts w:eastAsia="Times New Roman" w:cs="Times New Roman"/>
          <w:lang w:bidi="ar-SA"/>
        </w:rPr>
        <w:t xml:space="preserve">Palermo, </w:t>
      </w:r>
      <w:r w:rsidR="00FD1A56">
        <w:rPr>
          <w:rFonts w:eastAsia="Times New Roman" w:cs="Times New Roman"/>
          <w:lang w:bidi="ar-SA"/>
        </w:rPr>
        <w:t>03/10/2024</w:t>
      </w:r>
    </w:p>
    <w:p w:rsidR="008F1659" w:rsidRPr="008F1659" w:rsidRDefault="008F1659" w:rsidP="008F1659">
      <w:pPr>
        <w:keepNext/>
        <w:widowControl/>
        <w:ind w:right="-58"/>
        <w:outlineLvl w:val="0"/>
        <w:rPr>
          <w:rFonts w:eastAsia="Times New Roman" w:cs="Times New Roman"/>
          <w:b/>
          <w:lang w:bidi="ar-SA"/>
        </w:rPr>
      </w:pPr>
      <w:r w:rsidRPr="008F1659">
        <w:rPr>
          <w:rFonts w:eastAsia="Arial" w:cs="Times New Roman"/>
          <w:b/>
          <w:lang w:bidi="ar-SA"/>
        </w:rPr>
        <w:t xml:space="preserve">                          </w:t>
      </w:r>
      <w:r w:rsidRPr="008F1659">
        <w:rPr>
          <w:rFonts w:eastAsia="Times New Roman" w:cs="Times New Roman"/>
          <w:b/>
          <w:lang w:bidi="ar-SA"/>
        </w:rPr>
        <w:tab/>
      </w:r>
      <w:r w:rsidRPr="008F1659">
        <w:rPr>
          <w:rFonts w:eastAsia="Times New Roman" w:cs="Times New Roman"/>
          <w:b/>
          <w:lang w:bidi="ar-SA"/>
        </w:rPr>
        <w:tab/>
      </w:r>
      <w:r w:rsidRPr="008F1659">
        <w:rPr>
          <w:rFonts w:eastAsia="Times New Roman" w:cs="Times New Roman"/>
          <w:b/>
          <w:lang w:bidi="ar-SA"/>
        </w:rPr>
        <w:tab/>
      </w:r>
      <w:r w:rsidRPr="008F1659">
        <w:rPr>
          <w:rFonts w:eastAsia="Times New Roman" w:cs="Times New Roman"/>
          <w:b/>
          <w:lang w:bidi="ar-SA"/>
        </w:rPr>
        <w:tab/>
      </w:r>
      <w:r w:rsidRPr="008F1659">
        <w:rPr>
          <w:rFonts w:eastAsia="Times New Roman" w:cs="Times New Roman"/>
          <w:b/>
          <w:lang w:bidi="ar-SA"/>
        </w:rPr>
        <w:tab/>
        <w:t xml:space="preserve">             </w:t>
      </w:r>
      <w:r w:rsidRPr="008F1659">
        <w:rPr>
          <w:rFonts w:eastAsia="Times New Roman" w:cs="Times New Roman"/>
          <w:lang w:bidi="ar-SA"/>
        </w:rPr>
        <w:t>Il Dirigente dell’Ufficio Speciale</w:t>
      </w:r>
    </w:p>
    <w:p w:rsidR="008F1659" w:rsidRPr="008F1659" w:rsidRDefault="008F1659" w:rsidP="008F1659">
      <w:pPr>
        <w:widowControl/>
        <w:rPr>
          <w:rFonts w:eastAsia="Times New Roman" w:cs="Times New Roman"/>
          <w:lang w:bidi="ar-SA"/>
        </w:rPr>
      </w:pP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00895554">
        <w:rPr>
          <w:rFonts w:eastAsia="Times New Roman" w:cs="Times New Roman"/>
          <w:lang w:bidi="ar-SA"/>
        </w:rPr>
        <w:t xml:space="preserve">F.to </w:t>
      </w:r>
      <w:r w:rsidRPr="008F1659">
        <w:rPr>
          <w:rFonts w:eastAsia="Times New Roman" w:cs="Times New Roman"/>
          <w:lang w:bidi="ar-SA"/>
        </w:rPr>
        <w:t>Dorotea Piazza</w:t>
      </w:r>
    </w:p>
    <w:p w:rsidR="008F1659" w:rsidRPr="008F1659" w:rsidRDefault="008F1659" w:rsidP="008F1659">
      <w:pPr>
        <w:widowControl/>
        <w:rPr>
          <w:rFonts w:eastAsia="Times New Roman" w:cs="Times New Roman"/>
          <w:sz w:val="20"/>
          <w:szCs w:val="20"/>
          <w:lang w:bidi="ar-SA"/>
        </w:rPr>
      </w:pP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lang w:bidi="ar-SA"/>
        </w:rPr>
        <w:tab/>
      </w:r>
      <w:r w:rsidRPr="008F1659">
        <w:rPr>
          <w:rFonts w:eastAsia="Arial" w:cs="Times New Roman"/>
          <w:lang w:bidi="ar-SA"/>
        </w:rPr>
        <w:t xml:space="preserve">                    </w:t>
      </w:r>
      <w:r w:rsidRPr="008F1659">
        <w:rPr>
          <w:rFonts w:eastAsia="Times New Roman" w:cs="Times New Roman"/>
          <w:lang w:bidi="ar-SA"/>
        </w:rPr>
        <w:tab/>
      </w:r>
      <w:r w:rsidRPr="008F1659">
        <w:rPr>
          <w:rFonts w:eastAsia="Times New Roman" w:cs="Times New Roman"/>
          <w:lang w:bidi="ar-SA"/>
        </w:rPr>
        <w:tab/>
      </w:r>
      <w:r w:rsidRPr="008F1659">
        <w:rPr>
          <w:rFonts w:eastAsia="Times New Roman" w:cs="Times New Roman"/>
          <w:sz w:val="21"/>
          <w:szCs w:val="21"/>
          <w:lang w:bidi="ar-SA"/>
        </w:rPr>
        <w:tab/>
        <w:t xml:space="preserve">                 </w:t>
      </w:r>
      <w:r w:rsidRPr="008F1659">
        <w:rPr>
          <w:rFonts w:eastAsia="Arial" w:cs="Times New Roman"/>
          <w:i/>
          <w:sz w:val="22"/>
          <w:szCs w:val="22"/>
          <w:lang w:bidi="ar-SA"/>
        </w:rPr>
        <w:t xml:space="preserve"> </w:t>
      </w:r>
    </w:p>
    <w:p w:rsidR="008F1659" w:rsidRPr="008F1659" w:rsidRDefault="008F1659" w:rsidP="008F1659">
      <w:pPr>
        <w:widowControl/>
        <w:rPr>
          <w:rFonts w:eastAsia="Times New Roman" w:cs="Times New Roman"/>
          <w:sz w:val="20"/>
          <w:szCs w:val="20"/>
          <w:lang w:bidi="ar-SA"/>
        </w:rPr>
      </w:pPr>
    </w:p>
    <w:p w:rsidR="008F1659" w:rsidRPr="008F1659" w:rsidRDefault="008F1659" w:rsidP="008F1659">
      <w:pPr>
        <w:keepNext/>
        <w:widowControl/>
        <w:ind w:right="-58"/>
        <w:outlineLvl w:val="0"/>
        <w:rPr>
          <w:rFonts w:eastAsia="Times New Roman" w:cs="Times New Roman"/>
          <w:sz w:val="20"/>
          <w:szCs w:val="20"/>
          <w:lang w:bidi="ar-SA"/>
        </w:rPr>
      </w:pPr>
      <w:r w:rsidRPr="008F1659">
        <w:rPr>
          <w:rFonts w:eastAsia="Times New Roman" w:cs="Times New Roman"/>
          <w:sz w:val="20"/>
          <w:szCs w:val="20"/>
          <w:lang w:bidi="ar-SA"/>
        </w:rPr>
        <w:t>Il Funzionario Direttivo</w:t>
      </w:r>
    </w:p>
    <w:p w:rsidR="008F1659" w:rsidRPr="008F1659" w:rsidRDefault="008F1659" w:rsidP="008F1659">
      <w:pPr>
        <w:keepNext/>
        <w:widowControl/>
        <w:ind w:right="-58"/>
        <w:outlineLvl w:val="0"/>
        <w:rPr>
          <w:rFonts w:eastAsia="Times New Roman" w:cs="Times New Roman"/>
          <w:b/>
          <w:sz w:val="20"/>
          <w:szCs w:val="20"/>
          <w:lang w:bidi="ar-SA"/>
        </w:rPr>
      </w:pPr>
      <w:r w:rsidRPr="008F1659">
        <w:rPr>
          <w:rFonts w:eastAsia="Times New Roman" w:cs="Times New Roman"/>
          <w:sz w:val="20"/>
          <w:szCs w:val="20"/>
          <w:lang w:bidi="ar-SA"/>
        </w:rPr>
        <w:t>F.to  Sergio Restivo</w:t>
      </w:r>
      <w:r w:rsidRPr="008F1659">
        <w:rPr>
          <w:rFonts w:eastAsia="Times New Roman" w:cs="Times New Roman"/>
          <w:b/>
          <w:sz w:val="20"/>
          <w:szCs w:val="20"/>
          <w:lang w:bidi="ar-SA"/>
        </w:rPr>
        <w:tab/>
        <w:t xml:space="preserve">   </w:t>
      </w:r>
    </w:p>
    <w:p w:rsidR="008478A8" w:rsidRDefault="008478A8">
      <w:pPr>
        <w:pStyle w:val="Corpodeltesto3"/>
        <w:widowControl/>
        <w:ind w:right="-113"/>
        <w:rPr>
          <w:b/>
          <w:bCs/>
        </w:rPr>
      </w:pPr>
    </w:p>
    <w:sectPr w:rsidR="008478A8" w:rsidSect="004A2E11">
      <w:footerReference w:type="default" r:id="rId9"/>
      <w:pgSz w:w="11906" w:h="15534"/>
      <w:pgMar w:top="709" w:right="1187" w:bottom="1133" w:left="1134" w:header="0" w:footer="283"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F16D3" w:rsidRDefault="00BF16D3">
      <w:r>
        <w:separator/>
      </w:r>
    </w:p>
  </w:endnote>
  <w:endnote w:type="continuationSeparator" w:id="0">
    <w:p w:rsidR="00BF16D3" w:rsidRDefault="00BF16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charset w:val="00"/>
    <w:family w:val="roman"/>
    <w:pitch w:val="variable"/>
    <w:sig w:usb0="00000000"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imSun;Arial Unicode MS">
    <w:altName w:val="Times New Roman"/>
    <w:panose1 w:val="00000000000000000000"/>
    <w:charset w:val="00"/>
    <w:family w:val="roman"/>
    <w:notTrueType/>
    <w:pitch w:val="default"/>
  </w:font>
  <w:font w:name="Mangal">
    <w:altName w:val="Courier New"/>
    <w:panose1 w:val="00000400000000000000"/>
    <w:charset w:val="01"/>
    <w:family w:val="roman"/>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Arial">
    <w:panose1 w:val="00000000000000000000"/>
    <w:charset w:val="00"/>
    <w:family w:val="roman"/>
    <w:notTrueType/>
    <w:pitch w:val="default"/>
  </w:font>
  <w:font w:name="Microsoft YaHei">
    <w:panose1 w:val="020B0503020204020204"/>
    <w:charset w:val="86"/>
    <w:family w:val="swiss"/>
    <w:pitch w:val="variable"/>
    <w:sig w:usb0="80000287" w:usb1="2ACF3C50" w:usb2="00000016" w:usb3="00000000" w:csb0="0004001F" w:csb1="00000000"/>
  </w:font>
  <w:font w:name="OpenSymbol;Arial Unicode MS">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宋体">
    <w:panose1 w:val="00000000000000000000"/>
    <w:charset w:val="80"/>
    <w:family w:val="roman"/>
    <w:notTrueType/>
    <w:pitch w:val="default"/>
  </w:font>
  <w:font w:name="Courier;Courier New">
    <w:altName w:val="Times New Roman"/>
    <w:panose1 w:val="00000000000000000000"/>
    <w:charset w:val="00"/>
    <w:family w:val="roman"/>
    <w:notTrueType/>
    <w:pitch w:val="default"/>
  </w:font>
  <w:font w:name="Comic Sans MS">
    <w:panose1 w:val="030F0702030302020204"/>
    <w:charset w:val="00"/>
    <w:family w:val="script"/>
    <w:pitch w:val="variable"/>
    <w:sig w:usb0="00000287" w:usb1="00000013" w:usb2="00000000" w:usb3="00000000" w:csb0="0000009F" w:csb1="00000000"/>
  </w:font>
  <w:font w:name="Liberation Sans">
    <w:charset w:val="00"/>
    <w:family w:val="swiss"/>
    <w:pitch w:val="variable"/>
    <w:sig w:usb0="E0000AFF" w:usb1="500078FF" w:usb2="00000021" w:usb3="00000000" w:csb0="000001B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478A8" w:rsidRDefault="00335E7D">
    <w:pPr>
      <w:pStyle w:val="Pidipagina"/>
      <w:jc w:val="center"/>
      <w:rPr>
        <w:rFonts w:ascii="Arial" w:hAnsi="Arial" w:cs="Arial"/>
        <w:sz w:val="16"/>
        <w:szCs w:val="16"/>
      </w:rPr>
    </w:pPr>
    <w:r>
      <w:rPr>
        <w:rFonts w:ascii="Arial" w:hAnsi="Arial" w:cs="Arial"/>
        <w:sz w:val="16"/>
        <w:szCs w:val="16"/>
      </w:rPr>
      <w:fldChar w:fldCharType="begin"/>
    </w:r>
    <w:r>
      <w:rPr>
        <w:rFonts w:ascii="Arial" w:hAnsi="Arial" w:cs="Arial"/>
        <w:sz w:val="16"/>
        <w:szCs w:val="16"/>
      </w:rPr>
      <w:instrText>PAGE</w:instrText>
    </w:r>
    <w:r>
      <w:rPr>
        <w:rFonts w:ascii="Arial" w:hAnsi="Arial" w:cs="Arial"/>
        <w:sz w:val="16"/>
        <w:szCs w:val="16"/>
      </w:rPr>
      <w:fldChar w:fldCharType="separate"/>
    </w:r>
    <w:r w:rsidR="00261882">
      <w:rPr>
        <w:rFonts w:ascii="Arial" w:hAnsi="Arial" w:cs="Arial"/>
        <w:noProof/>
        <w:sz w:val="16"/>
        <w:szCs w:val="16"/>
      </w:rPr>
      <w:t>4</w:t>
    </w:r>
    <w:r>
      <w:rPr>
        <w:rFonts w:ascii="Arial" w:hAnsi="Arial"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F16D3" w:rsidRDefault="00BF16D3">
      <w:r>
        <w:separator/>
      </w:r>
    </w:p>
  </w:footnote>
  <w:footnote w:type="continuationSeparator" w:id="0">
    <w:p w:rsidR="00BF16D3" w:rsidRDefault="00BF16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83DAF"/>
    <w:multiLevelType w:val="multilevel"/>
    <w:tmpl w:val="44AA7C5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Titolo3"/>
      <w:suff w:val="nothing"/>
      <w:lvlText w:val="."/>
      <w:lvlJc w:val="left"/>
      <w:pPr>
        <w:tabs>
          <w:tab w:val="num" w:pos="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pStyle w:val="Titolo6"/>
      <w:suff w:val="nothing"/>
      <w:lvlText w:val="."/>
      <w:lvlJc w:val="left"/>
      <w:pPr>
        <w:tabs>
          <w:tab w:val="num" w:pos="0"/>
        </w:tabs>
        <w:ind w:left="1152" w:hanging="1152"/>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pStyle w:val="Titolo9"/>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9"/>
  <w:autoHyphenation/>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78A8"/>
    <w:rsid w:val="000B75D3"/>
    <w:rsid w:val="000C1B8D"/>
    <w:rsid w:val="000F6F16"/>
    <w:rsid w:val="00134ECA"/>
    <w:rsid w:val="00190FCA"/>
    <w:rsid w:val="00192371"/>
    <w:rsid w:val="00252EDB"/>
    <w:rsid w:val="00261882"/>
    <w:rsid w:val="002D5132"/>
    <w:rsid w:val="00335E7D"/>
    <w:rsid w:val="0039255C"/>
    <w:rsid w:val="003B34F3"/>
    <w:rsid w:val="004A2A8F"/>
    <w:rsid w:val="004A2E11"/>
    <w:rsid w:val="00546BFD"/>
    <w:rsid w:val="0056547B"/>
    <w:rsid w:val="00614403"/>
    <w:rsid w:val="006D1026"/>
    <w:rsid w:val="0070109D"/>
    <w:rsid w:val="007144A9"/>
    <w:rsid w:val="007D2F08"/>
    <w:rsid w:val="008174CC"/>
    <w:rsid w:val="008478A8"/>
    <w:rsid w:val="00895554"/>
    <w:rsid w:val="008F1659"/>
    <w:rsid w:val="00953C85"/>
    <w:rsid w:val="009F4AA8"/>
    <w:rsid w:val="00A231E2"/>
    <w:rsid w:val="00A936FC"/>
    <w:rsid w:val="00AC356E"/>
    <w:rsid w:val="00AF3E11"/>
    <w:rsid w:val="00B757AB"/>
    <w:rsid w:val="00BA4E38"/>
    <w:rsid w:val="00BF16D3"/>
    <w:rsid w:val="00D1646C"/>
    <w:rsid w:val="00D53E7E"/>
    <w:rsid w:val="00D8172A"/>
    <w:rsid w:val="00EA6EC2"/>
    <w:rsid w:val="00F31A1F"/>
    <w:rsid w:val="00FD1A5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EB7ACF-1EE5-4156-9198-B9A222DAD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NSimSun" w:hAnsi="Liberation Serif" w:cs="Lucida Sans"/>
        <w:sz w:val="24"/>
        <w:szCs w:val="24"/>
        <w:lang w:val="it-IT"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widowControl w:val="0"/>
    </w:pPr>
    <w:rPr>
      <w:rFonts w:ascii="Times New Roman" w:eastAsia="SimSun;Arial Unicode MS" w:hAnsi="Times New Roman" w:cs="Mangal"/>
      <w:kern w:val="2"/>
    </w:rPr>
  </w:style>
  <w:style w:type="paragraph" w:styleId="Titolo1">
    <w:name w:val="heading 1"/>
    <w:basedOn w:val="Normale"/>
    <w:next w:val="Normale"/>
    <w:link w:val="Titolo1Carattere"/>
    <w:uiPriority w:val="9"/>
    <w:qFormat/>
    <w:rsid w:val="008F1659"/>
    <w:pPr>
      <w:keepNext/>
      <w:keepLines/>
      <w:spacing w:before="240"/>
      <w:outlineLvl w:val="0"/>
    </w:pPr>
    <w:rPr>
      <w:rFonts w:asciiTheme="majorHAnsi" w:eastAsiaTheme="majorEastAsia" w:hAnsiTheme="majorHAnsi"/>
      <w:color w:val="2E74B5" w:themeColor="accent1" w:themeShade="BF"/>
      <w:sz w:val="32"/>
      <w:szCs w:val="29"/>
    </w:rPr>
  </w:style>
  <w:style w:type="paragraph" w:styleId="Titolo3">
    <w:name w:val="heading 3"/>
    <w:basedOn w:val="Normale"/>
    <w:next w:val="Normale"/>
    <w:qFormat/>
    <w:pPr>
      <w:keepNext/>
      <w:numPr>
        <w:ilvl w:val="2"/>
        <w:numId w:val="1"/>
      </w:numPr>
      <w:spacing w:before="240" w:after="60"/>
      <w:outlineLvl w:val="2"/>
    </w:pPr>
    <w:rPr>
      <w:rFonts w:ascii="Arial" w:hAnsi="Arial" w:cs="Arial"/>
      <w:b/>
      <w:sz w:val="26"/>
    </w:rPr>
  </w:style>
  <w:style w:type="paragraph" w:styleId="Titolo6">
    <w:name w:val="heading 6"/>
    <w:basedOn w:val="Normale"/>
    <w:next w:val="Normale"/>
    <w:qFormat/>
    <w:pPr>
      <w:keepNext/>
      <w:numPr>
        <w:ilvl w:val="5"/>
        <w:numId w:val="1"/>
      </w:numPr>
      <w:spacing w:line="240" w:lineRule="exact"/>
      <w:ind w:left="5664" w:firstLine="0"/>
      <w:jc w:val="both"/>
      <w:outlineLvl w:val="5"/>
    </w:pPr>
    <w:rPr>
      <w:sz w:val="28"/>
    </w:rPr>
  </w:style>
  <w:style w:type="paragraph" w:styleId="Titolo9">
    <w:name w:val="heading 9"/>
    <w:basedOn w:val="Titolo"/>
    <w:next w:val="Corpotesto"/>
    <w:qFormat/>
    <w:pPr>
      <w:numPr>
        <w:ilvl w:val="8"/>
        <w:numId w:val="1"/>
      </w:numPr>
      <w:spacing w:before="60" w:after="60"/>
      <w:outlineLvl w:val="8"/>
    </w:pPr>
    <w:rPr>
      <w:b/>
      <w:bCs/>
      <w:sz w:val="21"/>
      <w:szCs w:val="21"/>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Carpredefinitoparagrafo1">
    <w:name w:val="Car. predefinito paragrafo1"/>
    <w:qFormat/>
  </w:style>
  <w:style w:type="character" w:customStyle="1" w:styleId="Punti">
    <w:name w:val="Punti"/>
    <w:qFormat/>
    <w:rPr>
      <w:rFonts w:ascii="OpenSymbol;Arial Unicode MS" w:eastAsia="OpenSymbol;Arial Unicode MS" w:hAnsi="OpenSymbol;Arial Unicode MS" w:cs="OpenSymbol;Arial Unicode MS"/>
    </w:rPr>
  </w:style>
  <w:style w:type="character" w:customStyle="1" w:styleId="CollegamentoInternet">
    <w:name w:val="Collegamento Internet"/>
    <w:rPr>
      <w:color w:val="000080"/>
      <w:u w:val="single"/>
    </w:rPr>
  </w:style>
  <w:style w:type="character" w:customStyle="1" w:styleId="Caratteredinumerazione">
    <w:name w:val="Carattere di numerazione"/>
    <w:qFormat/>
  </w:style>
  <w:style w:type="character" w:customStyle="1" w:styleId="TestofumettoCarattere">
    <w:name w:val="Testo fumetto Carattere"/>
    <w:qFormat/>
    <w:rPr>
      <w:rFonts w:ascii="Tahoma" w:hAnsi="Tahoma" w:cs="Tahoma"/>
      <w:sz w:val="16"/>
      <w:szCs w:val="16"/>
    </w:rPr>
  </w:style>
  <w:style w:type="character" w:customStyle="1" w:styleId="SoggettocommentoCarattere">
    <w:name w:val="Soggetto commento Carattere"/>
    <w:qFormat/>
    <w:rPr>
      <w:b/>
      <w:bCs/>
    </w:rPr>
  </w:style>
  <w:style w:type="character" w:customStyle="1" w:styleId="TestocommentoCarattere">
    <w:name w:val="Testo commento Carattere"/>
    <w:qFormat/>
  </w:style>
  <w:style w:type="character" w:customStyle="1" w:styleId="Rimandocommento1">
    <w:name w:val="Rimando commento1"/>
    <w:qFormat/>
    <w:rPr>
      <w:sz w:val="16"/>
      <w:szCs w:val="16"/>
    </w:rPr>
  </w:style>
  <w:style w:type="character" w:customStyle="1" w:styleId="titleid1siteid0">
    <w:name w:val="titleid1siteid0"/>
    <w:basedOn w:val="Carpredefinitoparagrafo1"/>
    <w:qFormat/>
  </w:style>
  <w:style w:type="character" w:customStyle="1" w:styleId="Numerodipagina">
    <w:name w:val="Numero di pagina"/>
    <w:basedOn w:val="Carpredefinitoparagrafo1"/>
  </w:style>
  <w:style w:type="character" w:customStyle="1" w:styleId="WW8Num8z8">
    <w:name w:val="WW8Num8z8"/>
    <w:qFormat/>
  </w:style>
  <w:style w:type="character" w:customStyle="1" w:styleId="WW8Num8z7">
    <w:name w:val="WW8Num8z7"/>
    <w:qFormat/>
  </w:style>
  <w:style w:type="character" w:customStyle="1" w:styleId="WW8Num8z6">
    <w:name w:val="WW8Num8z6"/>
    <w:qFormat/>
  </w:style>
  <w:style w:type="character" w:customStyle="1" w:styleId="WW8Num8z5">
    <w:name w:val="WW8Num8z5"/>
    <w:qFormat/>
  </w:style>
  <w:style w:type="character" w:customStyle="1" w:styleId="WW8Num8z4">
    <w:name w:val="WW8Num8z4"/>
    <w:qFormat/>
  </w:style>
  <w:style w:type="character" w:customStyle="1" w:styleId="WW8Num8z3">
    <w:name w:val="WW8Num8z3"/>
    <w:qFormat/>
  </w:style>
  <w:style w:type="character" w:customStyle="1" w:styleId="WW8Num8z2">
    <w:name w:val="WW8Num8z2"/>
    <w:qFormat/>
  </w:style>
  <w:style w:type="character" w:customStyle="1" w:styleId="WW8Num8z1">
    <w:name w:val="WW8Num8z1"/>
    <w:qFormat/>
  </w:style>
  <w:style w:type="character" w:customStyle="1" w:styleId="WW8Num8z0">
    <w:name w:val="WW8Num8z0"/>
    <w:qFormat/>
  </w:style>
  <w:style w:type="character" w:customStyle="1" w:styleId="WW8Num5z3">
    <w:name w:val="WW8Num5z3"/>
    <w:qFormat/>
    <w:rPr>
      <w:rFonts w:ascii="Symbol" w:hAnsi="Symbol" w:cs="Symbol"/>
    </w:rPr>
  </w:style>
  <w:style w:type="character" w:customStyle="1" w:styleId="WW8Num5z2">
    <w:name w:val="WW8Num5z2"/>
    <w:qFormat/>
    <w:rPr>
      <w:rFonts w:ascii="Wingdings" w:hAnsi="Wingdings" w:cs="Wingdings"/>
    </w:rPr>
  </w:style>
  <w:style w:type="character" w:customStyle="1" w:styleId="WW8Num5z1">
    <w:name w:val="WW8Num5z1"/>
    <w:qFormat/>
    <w:rPr>
      <w:rFonts w:ascii="Courier New" w:hAnsi="Courier New" w:cs="Courier New"/>
    </w:rPr>
  </w:style>
  <w:style w:type="character" w:customStyle="1" w:styleId="WW8Num4z8">
    <w:name w:val="WW8Num4z8"/>
    <w:qFormat/>
  </w:style>
  <w:style w:type="character" w:customStyle="1" w:styleId="WW8Num4z7">
    <w:name w:val="WW8Num4z7"/>
    <w:qFormat/>
  </w:style>
  <w:style w:type="character" w:customStyle="1" w:styleId="WW8Num4z6">
    <w:name w:val="WW8Num4z6"/>
    <w:qFormat/>
  </w:style>
  <w:style w:type="character" w:customStyle="1" w:styleId="WW8Num4z5">
    <w:name w:val="WW8Num4z5"/>
    <w:qFormat/>
  </w:style>
  <w:style w:type="character" w:customStyle="1" w:styleId="WW8Num4z4">
    <w:name w:val="WW8Num4z4"/>
    <w:qFormat/>
  </w:style>
  <w:style w:type="character" w:customStyle="1" w:styleId="WW8Num4z3">
    <w:name w:val="WW8Num4z3"/>
    <w:qFormat/>
  </w:style>
  <w:style w:type="character" w:customStyle="1" w:styleId="WW8Num4z2">
    <w:name w:val="WW8Num4z2"/>
    <w:qFormat/>
  </w:style>
  <w:style w:type="character" w:customStyle="1" w:styleId="WW8Num4z1">
    <w:name w:val="WW8Num4z1"/>
    <w:qFormat/>
  </w:style>
  <w:style w:type="character" w:customStyle="1" w:styleId="WW8Num3z8">
    <w:name w:val="WW8Num3z8"/>
    <w:qFormat/>
  </w:style>
  <w:style w:type="character" w:customStyle="1" w:styleId="WW8Num3z7">
    <w:name w:val="WW8Num3z7"/>
    <w:qFormat/>
  </w:style>
  <w:style w:type="character" w:customStyle="1" w:styleId="WW8Num3z6">
    <w:name w:val="WW8Num3z6"/>
    <w:qFormat/>
  </w:style>
  <w:style w:type="character" w:customStyle="1" w:styleId="WW8Num3z5">
    <w:name w:val="WW8Num3z5"/>
    <w:qFormat/>
  </w:style>
  <w:style w:type="character" w:customStyle="1" w:styleId="WW8Num3z4">
    <w:name w:val="WW8Num3z4"/>
    <w:qFormat/>
  </w:style>
  <w:style w:type="character" w:customStyle="1" w:styleId="WW8Num3z3">
    <w:name w:val="WW8Num3z3"/>
    <w:qFormat/>
  </w:style>
  <w:style w:type="character" w:customStyle="1" w:styleId="WW8Num3z2">
    <w:name w:val="WW8Num3z2"/>
    <w:qFormat/>
    <w:rPr>
      <w:rFonts w:ascii="Wingdings" w:hAnsi="Wingdings" w:cs="Wingdings"/>
      <w:color w:val="FF0000"/>
    </w:rPr>
  </w:style>
  <w:style w:type="character" w:customStyle="1" w:styleId="WW8Num2z1">
    <w:name w:val="WW8Num2z1"/>
    <w:qFormat/>
  </w:style>
  <w:style w:type="character" w:customStyle="1" w:styleId="WW8Num7z8">
    <w:name w:val="WW8Num7z8"/>
    <w:qFormat/>
  </w:style>
  <w:style w:type="character" w:customStyle="1" w:styleId="WW8Num7z7">
    <w:name w:val="WW8Num7z7"/>
    <w:qFormat/>
  </w:style>
  <w:style w:type="character" w:customStyle="1" w:styleId="WW8Num7z6">
    <w:name w:val="WW8Num7z6"/>
    <w:qFormat/>
  </w:style>
  <w:style w:type="character" w:customStyle="1" w:styleId="WW8Num7z5">
    <w:name w:val="WW8Num7z5"/>
    <w:qFormat/>
  </w:style>
  <w:style w:type="character" w:customStyle="1" w:styleId="WW8Num7z4">
    <w:name w:val="WW8Num7z4"/>
    <w:qFormat/>
  </w:style>
  <w:style w:type="character" w:customStyle="1" w:styleId="Caratterepredefinitoparagrafo">
    <w:name w:val="Carattere predefinito paragrafo"/>
    <w:qFormat/>
  </w:style>
  <w:style w:type="character" w:customStyle="1" w:styleId="WW8Num7z3">
    <w:name w:val="WW8Num7z3"/>
    <w:qFormat/>
    <w:rPr>
      <w:rFonts w:ascii="Symbol" w:hAnsi="Symbol" w:cs="Symbol"/>
    </w:rPr>
  </w:style>
  <w:style w:type="character" w:customStyle="1" w:styleId="WW8Num7z2">
    <w:name w:val="WW8Num7z2"/>
    <w:qFormat/>
    <w:rPr>
      <w:rFonts w:ascii="Wingdings" w:hAnsi="Wingdings" w:cs="Wingdings"/>
    </w:rPr>
  </w:style>
  <w:style w:type="character" w:customStyle="1" w:styleId="WW8Num7z1">
    <w:name w:val="WW8Num7z1"/>
    <w:qFormat/>
    <w:rPr>
      <w:rFonts w:ascii="Courier New" w:hAnsi="Courier New" w:cs="Courier New"/>
    </w:rPr>
  </w:style>
  <w:style w:type="character" w:customStyle="1" w:styleId="WW8Num7z0">
    <w:name w:val="WW8Num7z0"/>
    <w:qFormat/>
    <w:rPr>
      <w:rFonts w:ascii="Symbol" w:eastAsia="SimSun;宋体" w:hAnsi="Symbol" w:cs="Times New Roman"/>
    </w:rPr>
  </w:style>
  <w:style w:type="character" w:customStyle="1" w:styleId="WW8Num6z8">
    <w:name w:val="WW8Num6z8"/>
    <w:qFormat/>
  </w:style>
  <w:style w:type="character" w:customStyle="1" w:styleId="WW8Num6z7">
    <w:name w:val="WW8Num6z7"/>
    <w:qFormat/>
  </w:style>
  <w:style w:type="character" w:customStyle="1" w:styleId="WW8Num6z6">
    <w:name w:val="WW8Num6z6"/>
    <w:qFormat/>
  </w:style>
  <w:style w:type="character" w:customStyle="1" w:styleId="WW8Num6z5">
    <w:name w:val="WW8Num6z5"/>
    <w:qFormat/>
  </w:style>
  <w:style w:type="character" w:customStyle="1" w:styleId="WW8Num6z4">
    <w:name w:val="WW8Num6z4"/>
    <w:qFormat/>
  </w:style>
  <w:style w:type="character" w:customStyle="1" w:styleId="WW8Num6z3">
    <w:name w:val="WW8Num6z3"/>
    <w:qFormat/>
  </w:style>
  <w:style w:type="character" w:customStyle="1" w:styleId="WW8Num6z2">
    <w:name w:val="WW8Num6z2"/>
    <w:qFormat/>
  </w:style>
  <w:style w:type="character" w:customStyle="1" w:styleId="WW8Num6z1">
    <w:name w:val="WW8Num6z1"/>
    <w:qFormat/>
  </w:style>
  <w:style w:type="character" w:customStyle="1" w:styleId="WW8Num6z0">
    <w:name w:val="WW8Num6z0"/>
    <w:qFormat/>
  </w:style>
  <w:style w:type="character" w:customStyle="1" w:styleId="WW8Num5z0">
    <w:name w:val="WW8Num5z0"/>
    <w:qFormat/>
    <w:rPr>
      <w:rFonts w:ascii="Times New Roman" w:hAnsi="Times New Roman" w:cs="Times New Roman"/>
      <w:color w:val="FF0000"/>
    </w:rPr>
  </w:style>
  <w:style w:type="character" w:customStyle="1" w:styleId="WW8Num4z0">
    <w:name w:val="WW8Num4z0"/>
    <w:qFormat/>
    <w:rPr>
      <w:b/>
      <w:bCs/>
    </w:rPr>
  </w:style>
  <w:style w:type="character" w:customStyle="1" w:styleId="WW8Num3z0">
    <w:name w:val="WW8Num3z0"/>
    <w:qFormat/>
    <w:rPr>
      <w:rFonts w:ascii="Times New Roman" w:hAnsi="Times New Roman" w:cs="Times New Roman"/>
      <w:color w:val="FF0000"/>
    </w:rPr>
  </w:style>
  <w:style w:type="character" w:customStyle="1" w:styleId="WW8Num2z8">
    <w:name w:val="WW8Num2z8"/>
    <w:qFormat/>
  </w:style>
  <w:style w:type="character" w:customStyle="1" w:styleId="WW8Num2z7">
    <w:name w:val="WW8Num2z7"/>
    <w:qFormat/>
  </w:style>
  <w:style w:type="character" w:customStyle="1" w:styleId="WW8Num2z6">
    <w:name w:val="WW8Num2z6"/>
    <w:qFormat/>
  </w:style>
  <w:style w:type="character" w:customStyle="1" w:styleId="WW8Num2z5">
    <w:name w:val="WW8Num2z5"/>
    <w:qFormat/>
  </w:style>
  <w:style w:type="character" w:customStyle="1" w:styleId="WW8Num2z4">
    <w:name w:val="WW8Num2z4"/>
    <w:qFormat/>
  </w:style>
  <w:style w:type="character" w:customStyle="1" w:styleId="WW8Num2z3">
    <w:name w:val="WW8Num2z3"/>
    <w:qFormat/>
  </w:style>
  <w:style w:type="character" w:customStyle="1" w:styleId="WW8Num2z2">
    <w:name w:val="WW8Num2z2"/>
    <w:qFormat/>
    <w:rPr>
      <w:rFonts w:ascii="Wingdings" w:hAnsi="Wingdings" w:cs="Wingdings"/>
      <w:color w:val="000000"/>
    </w:rPr>
  </w:style>
  <w:style w:type="character" w:customStyle="1" w:styleId="WW8Num2z0">
    <w:name w:val="WW8Num2z0"/>
    <w:qFormat/>
    <w:rPr>
      <w:color w:val="000000"/>
    </w:rPr>
  </w:style>
  <w:style w:type="character" w:customStyle="1" w:styleId="CITE">
    <w:name w:val="CITE"/>
    <w:qFormat/>
    <w:rPr>
      <w:i/>
    </w:rPr>
  </w:style>
  <w:style w:type="character" w:customStyle="1" w:styleId="CODE">
    <w:name w:val="CODE"/>
    <w:qFormat/>
    <w:rPr>
      <w:rFonts w:ascii="Courier New" w:hAnsi="Courier New" w:cs="Courier New"/>
      <w:sz w:val="20"/>
    </w:rPr>
  </w:style>
  <w:style w:type="character" w:styleId="Collegamentovisitato">
    <w:name w:val="FollowedHyperlink"/>
    <w:qFormat/>
    <w:rPr>
      <w:color w:val="800080"/>
      <w:u w:val="single"/>
    </w:rPr>
  </w:style>
  <w:style w:type="character" w:customStyle="1" w:styleId="Keyboard">
    <w:name w:val="Keyboard"/>
    <w:qFormat/>
    <w:rPr>
      <w:rFonts w:ascii="Courier New" w:hAnsi="Courier New" w:cs="Courier New"/>
      <w:b/>
      <w:sz w:val="20"/>
    </w:rPr>
  </w:style>
  <w:style w:type="character" w:customStyle="1" w:styleId="Sample">
    <w:name w:val="Sample"/>
    <w:qFormat/>
    <w:rPr>
      <w:rFonts w:ascii="Courier New" w:hAnsi="Courier New" w:cs="Courier New"/>
    </w:rPr>
  </w:style>
  <w:style w:type="character" w:styleId="Enfasigrassetto">
    <w:name w:val="Strong"/>
    <w:qFormat/>
    <w:rPr>
      <w:b/>
    </w:rPr>
  </w:style>
  <w:style w:type="character" w:customStyle="1" w:styleId="Typewriter">
    <w:name w:val="Typewriter"/>
    <w:qFormat/>
    <w:rPr>
      <w:rFonts w:ascii="Courier New" w:hAnsi="Courier New" w:cs="Courier New"/>
      <w:sz w:val="20"/>
    </w:rPr>
  </w:style>
  <w:style w:type="character" w:customStyle="1" w:styleId="HTMLMarkup">
    <w:name w:val="HTML Markup"/>
    <w:qFormat/>
    <w:rPr>
      <w:vanish/>
      <w:color w:val="FF0000"/>
    </w:rPr>
  </w:style>
  <w:style w:type="character" w:customStyle="1" w:styleId="Comment">
    <w:name w:val="Comment"/>
    <w:qFormat/>
    <w:rPr>
      <w:vanish/>
    </w:rPr>
  </w:style>
  <w:style w:type="character" w:customStyle="1" w:styleId="Corpodeltesto3Carattere">
    <w:name w:val="Corpo del testo 3 Carattere"/>
    <w:qFormat/>
    <w:rPr>
      <w:kern w:val="2"/>
      <w:sz w:val="16"/>
    </w:rPr>
  </w:style>
  <w:style w:type="character" w:customStyle="1" w:styleId="Carpredefinitoparagrafo2">
    <w:name w:val="Car. predefinito paragrafo2"/>
    <w:qFormat/>
  </w:style>
  <w:style w:type="character" w:customStyle="1" w:styleId="WW-Absatz-Standardschriftart1111">
    <w:name w:val="WW-Absatz-Standardschriftart1111"/>
    <w:qFormat/>
  </w:style>
  <w:style w:type="character" w:customStyle="1" w:styleId="WW-Absatz-Standardschriftart111">
    <w:name w:val="WW-Absatz-Standardschriftart111"/>
    <w:qFormat/>
  </w:style>
  <w:style w:type="character" w:customStyle="1" w:styleId="Carpredefinitoparagrafo3">
    <w:name w:val="Car. predefinito paragrafo3"/>
    <w:qFormat/>
  </w:style>
  <w:style w:type="character" w:customStyle="1" w:styleId="WW-Absatz-Standardschriftart11">
    <w:name w:val="WW-Absatz-Standardschriftart11"/>
    <w:qFormat/>
  </w:style>
  <w:style w:type="character" w:customStyle="1" w:styleId="WW-Absatz-Standardschriftart1">
    <w:name w:val="WW-Absatz-Standardschriftart1"/>
    <w:qFormat/>
  </w:style>
  <w:style w:type="character" w:customStyle="1" w:styleId="WW-Absatz-Standardschriftart">
    <w:name w:val="WW-Absatz-Standardschriftart"/>
    <w:qFormat/>
  </w:style>
  <w:style w:type="character" w:customStyle="1" w:styleId="Absatz-Standardschriftart">
    <w:name w:val="Absatz-Standardschriftart"/>
    <w:qFormat/>
  </w:style>
  <w:style w:type="paragraph" w:styleId="Titolo">
    <w:name w:val="Title"/>
    <w:basedOn w:val="Normale"/>
    <w:next w:val="Corpotesto"/>
    <w:qFormat/>
    <w:pPr>
      <w:keepNext/>
      <w:spacing w:before="240" w:after="120"/>
    </w:pPr>
    <w:rPr>
      <w:rFonts w:ascii="Liberation Sans;Arial" w:eastAsia="Microsoft YaHei" w:hAnsi="Liberation Sans;Arial" w:cs="Arial"/>
      <w:sz w:val="28"/>
      <w:szCs w:val="28"/>
    </w:rPr>
  </w:style>
  <w:style w:type="paragraph" w:styleId="Corpotesto">
    <w:name w:val="Body Text"/>
    <w:basedOn w:val="Normale"/>
    <w:pPr>
      <w:spacing w:after="120"/>
    </w:pPr>
  </w:style>
  <w:style w:type="paragraph" w:styleId="Elenco">
    <w:name w:val="List"/>
    <w:basedOn w:val="Corpotesto"/>
  </w:style>
  <w:style w:type="paragraph" w:styleId="Didascalia">
    <w:name w:val="caption"/>
    <w:basedOn w:val="Normale"/>
    <w:qFormat/>
    <w:pPr>
      <w:suppressLineNumbers/>
      <w:spacing w:before="120" w:after="120"/>
    </w:pPr>
    <w:rPr>
      <w:i/>
      <w:iCs/>
    </w:rPr>
  </w:style>
  <w:style w:type="paragraph" w:customStyle="1" w:styleId="Indice">
    <w:name w:val="Indice"/>
    <w:basedOn w:val="Normale"/>
    <w:qFormat/>
    <w:pPr>
      <w:suppressLineNumbers/>
    </w:pPr>
  </w:style>
  <w:style w:type="paragraph" w:customStyle="1" w:styleId="Intestazioneepidipagina">
    <w:name w:val="Intestazione e piè di pagina"/>
    <w:basedOn w:val="Normale"/>
    <w:qFormat/>
    <w:pPr>
      <w:suppressLineNumbers/>
      <w:tabs>
        <w:tab w:val="center" w:pos="4819"/>
        <w:tab w:val="right" w:pos="9638"/>
      </w:tabs>
    </w:pPr>
  </w:style>
  <w:style w:type="paragraph" w:styleId="Intestazione">
    <w:name w:val="header"/>
    <w:basedOn w:val="Normale"/>
    <w:next w:val="Corpotesto"/>
    <w:pPr>
      <w:keepNext/>
      <w:spacing w:before="240" w:after="120"/>
    </w:pPr>
    <w:rPr>
      <w:rFonts w:ascii="Arial" w:eastAsia="Microsoft YaHei" w:hAnsi="Arial"/>
      <w:sz w:val="28"/>
      <w:szCs w:val="28"/>
    </w:rPr>
  </w:style>
  <w:style w:type="paragraph" w:customStyle="1" w:styleId="Intestazione2">
    <w:name w:val="Intestazione2"/>
    <w:basedOn w:val="Normale"/>
    <w:next w:val="Corpotesto"/>
    <w:qFormat/>
    <w:pPr>
      <w:keepNext/>
      <w:spacing w:before="240" w:after="120"/>
    </w:pPr>
    <w:rPr>
      <w:rFonts w:ascii="Arial" w:eastAsia="Microsoft YaHei" w:hAnsi="Arial"/>
      <w:sz w:val="28"/>
      <w:szCs w:val="28"/>
    </w:rPr>
  </w:style>
  <w:style w:type="paragraph" w:customStyle="1" w:styleId="Didascalia2">
    <w:name w:val="Didascalia2"/>
    <w:basedOn w:val="Normale"/>
    <w:qFormat/>
    <w:pPr>
      <w:suppressLineNumbers/>
      <w:spacing w:before="120" w:after="120"/>
    </w:pPr>
    <w:rPr>
      <w:i/>
      <w:iCs/>
    </w:rPr>
  </w:style>
  <w:style w:type="paragraph" w:customStyle="1" w:styleId="Intestazione1">
    <w:name w:val="Intestazione1"/>
    <w:basedOn w:val="Normale"/>
    <w:next w:val="Corpotesto"/>
    <w:qFormat/>
    <w:pPr>
      <w:keepNext/>
      <w:spacing w:before="240" w:after="120"/>
    </w:pPr>
    <w:rPr>
      <w:rFonts w:ascii="Arial" w:eastAsia="Microsoft YaHei" w:hAnsi="Arial"/>
      <w:sz w:val="28"/>
      <w:szCs w:val="28"/>
    </w:rPr>
  </w:style>
  <w:style w:type="paragraph" w:customStyle="1" w:styleId="Didascalia1">
    <w:name w:val="Didascalia1"/>
    <w:basedOn w:val="Normale"/>
    <w:qFormat/>
    <w:pPr>
      <w:suppressLineNumbers/>
      <w:spacing w:before="120" w:after="120"/>
    </w:pPr>
    <w:rPr>
      <w:i/>
      <w:iCs/>
    </w:rPr>
  </w:style>
  <w:style w:type="paragraph" w:styleId="Pidipagina">
    <w:name w:val="footer"/>
    <w:basedOn w:val="Normale"/>
    <w:pPr>
      <w:suppressLineNumbers/>
      <w:tabs>
        <w:tab w:val="center" w:pos="4819"/>
        <w:tab w:val="right" w:pos="9638"/>
      </w:tabs>
    </w:pPr>
  </w:style>
  <w:style w:type="paragraph" w:customStyle="1" w:styleId="Rigadintestazione">
    <w:name w:val="Riga d'intestazione"/>
    <w:basedOn w:val="Normale"/>
    <w:qFormat/>
    <w:pPr>
      <w:suppressLineNumbers/>
      <w:tabs>
        <w:tab w:val="center" w:pos="4819"/>
        <w:tab w:val="right" w:pos="9638"/>
      </w:tabs>
    </w:pPr>
  </w:style>
  <w:style w:type="paragraph" w:customStyle="1" w:styleId="Contenutotabella">
    <w:name w:val="Contenuto tabella"/>
    <w:basedOn w:val="Normale"/>
    <w:qFormat/>
    <w:pPr>
      <w:suppressLineNumbers/>
    </w:pPr>
  </w:style>
  <w:style w:type="paragraph" w:customStyle="1" w:styleId="Titolotabella">
    <w:name w:val="Titolo tabella"/>
    <w:basedOn w:val="Contenutotabella"/>
    <w:qFormat/>
    <w:pPr>
      <w:jc w:val="center"/>
    </w:pPr>
    <w:rPr>
      <w:b/>
      <w:bCs/>
    </w:rPr>
  </w:style>
  <w:style w:type="paragraph" w:customStyle="1" w:styleId="Contenutocornice">
    <w:name w:val="Contenuto cornice"/>
    <w:basedOn w:val="Corpotesto"/>
    <w:qFormat/>
  </w:style>
  <w:style w:type="paragraph" w:customStyle="1" w:styleId="Intestazionetabella">
    <w:name w:val="Intestazione tabella"/>
    <w:basedOn w:val="Contenutotabella"/>
    <w:qFormat/>
    <w:pPr>
      <w:jc w:val="center"/>
    </w:pPr>
    <w:rPr>
      <w:b/>
      <w:bCs/>
    </w:rPr>
  </w:style>
  <w:style w:type="paragraph" w:styleId="Testofumetto">
    <w:name w:val="Balloon Text"/>
    <w:basedOn w:val="Normale"/>
    <w:qFormat/>
    <w:rPr>
      <w:rFonts w:ascii="Tahoma" w:hAnsi="Tahoma" w:cs="Tahoma"/>
      <w:sz w:val="16"/>
      <w:szCs w:val="16"/>
    </w:rPr>
  </w:style>
  <w:style w:type="paragraph" w:customStyle="1" w:styleId="Testocommento1">
    <w:name w:val="Testo commento1"/>
    <w:basedOn w:val="Normale"/>
    <w:qFormat/>
    <w:rPr>
      <w:sz w:val="20"/>
      <w:szCs w:val="20"/>
    </w:rPr>
  </w:style>
  <w:style w:type="paragraph" w:styleId="Soggettocommento">
    <w:name w:val="annotation subject"/>
    <w:basedOn w:val="Testocommento1"/>
    <w:next w:val="Testocommento1"/>
    <w:qFormat/>
    <w:rPr>
      <w:b/>
      <w:bCs/>
    </w:rPr>
  </w:style>
  <w:style w:type="paragraph" w:styleId="Paragrafoelenco">
    <w:name w:val="List Paragraph"/>
    <w:basedOn w:val="Normale"/>
    <w:qFormat/>
    <w:pPr>
      <w:ind w:left="708"/>
    </w:pPr>
  </w:style>
  <w:style w:type="paragraph" w:customStyle="1" w:styleId="Regione">
    <w:name w:val="Regione"/>
    <w:basedOn w:val="Normale"/>
    <w:qFormat/>
    <w:pPr>
      <w:overflowPunct w:val="0"/>
      <w:autoSpaceDE w:val="0"/>
      <w:ind w:right="4202" w:firstLine="708"/>
      <w:jc w:val="center"/>
      <w:textAlignment w:val="baseline"/>
    </w:pPr>
    <w:rPr>
      <w:rFonts w:ascii="Arial" w:eastAsia="Times New Roman" w:hAnsi="Arial" w:cs="Arial"/>
      <w:i/>
      <w:sz w:val="48"/>
      <w:szCs w:val="20"/>
    </w:rPr>
  </w:style>
  <w:style w:type="paragraph" w:customStyle="1" w:styleId="Default">
    <w:name w:val="Default"/>
    <w:qFormat/>
    <w:pPr>
      <w:widowControl w:val="0"/>
    </w:pPr>
    <w:rPr>
      <w:rFonts w:ascii="Times New Roman" w:hAnsi="Times New Roman" w:cs="Arial"/>
      <w:color w:val="000000"/>
    </w:rPr>
  </w:style>
  <w:style w:type="paragraph" w:styleId="Corpodeltesto3">
    <w:name w:val="Body Text 3"/>
    <w:basedOn w:val="Normale"/>
    <w:qFormat/>
    <w:pPr>
      <w:tabs>
        <w:tab w:val="left" w:pos="1985"/>
      </w:tabs>
      <w:spacing w:after="120"/>
      <w:jc w:val="both"/>
    </w:pPr>
  </w:style>
  <w:style w:type="paragraph" w:customStyle="1" w:styleId="DefinitionTerm">
    <w:name w:val="Definition Term"/>
    <w:basedOn w:val="Normale"/>
    <w:qFormat/>
  </w:style>
  <w:style w:type="paragraph" w:customStyle="1" w:styleId="DefinitionList">
    <w:name w:val="Definition List"/>
    <w:basedOn w:val="Normale"/>
    <w:qFormat/>
    <w:pPr>
      <w:ind w:left="360"/>
    </w:pPr>
  </w:style>
  <w:style w:type="paragraph" w:customStyle="1" w:styleId="H1">
    <w:name w:val="H1"/>
    <w:basedOn w:val="Normale"/>
    <w:qFormat/>
    <w:pPr>
      <w:keepNext/>
      <w:spacing w:before="100" w:after="100"/>
    </w:pPr>
    <w:rPr>
      <w:b/>
      <w:sz w:val="48"/>
    </w:rPr>
  </w:style>
  <w:style w:type="paragraph" w:customStyle="1" w:styleId="H2">
    <w:name w:val="H2"/>
    <w:basedOn w:val="Normale"/>
    <w:qFormat/>
    <w:pPr>
      <w:keepNext/>
      <w:spacing w:before="100" w:after="100"/>
    </w:pPr>
    <w:rPr>
      <w:b/>
      <w:sz w:val="36"/>
    </w:rPr>
  </w:style>
  <w:style w:type="paragraph" w:customStyle="1" w:styleId="H3">
    <w:name w:val="H3"/>
    <w:basedOn w:val="Normale"/>
    <w:qFormat/>
    <w:pPr>
      <w:keepNext/>
      <w:spacing w:before="100" w:after="100"/>
    </w:pPr>
    <w:rPr>
      <w:b/>
      <w:sz w:val="28"/>
    </w:rPr>
  </w:style>
  <w:style w:type="paragraph" w:customStyle="1" w:styleId="H4">
    <w:name w:val="H4"/>
    <w:basedOn w:val="Normale"/>
    <w:qFormat/>
    <w:pPr>
      <w:keepNext/>
      <w:spacing w:before="100" w:after="100"/>
    </w:pPr>
    <w:rPr>
      <w:b/>
    </w:rPr>
  </w:style>
  <w:style w:type="paragraph" w:customStyle="1" w:styleId="H5">
    <w:name w:val="H5"/>
    <w:basedOn w:val="Normale"/>
    <w:qFormat/>
    <w:pPr>
      <w:keepNext/>
      <w:spacing w:before="100" w:after="100"/>
    </w:pPr>
    <w:rPr>
      <w:b/>
      <w:sz w:val="20"/>
    </w:rPr>
  </w:style>
  <w:style w:type="paragraph" w:customStyle="1" w:styleId="H6">
    <w:name w:val="H6"/>
    <w:basedOn w:val="Normale"/>
    <w:qFormat/>
    <w:pPr>
      <w:keepNext/>
      <w:spacing w:before="100" w:after="100"/>
    </w:pPr>
    <w:rPr>
      <w:b/>
      <w:sz w:val="16"/>
    </w:rPr>
  </w:style>
  <w:style w:type="paragraph" w:customStyle="1" w:styleId="Address">
    <w:name w:val="Address"/>
    <w:basedOn w:val="Normale"/>
    <w:qFormat/>
    <w:rPr>
      <w:i/>
    </w:rPr>
  </w:style>
  <w:style w:type="paragraph" w:customStyle="1" w:styleId="Blockquote">
    <w:name w:val="Blockquote"/>
    <w:basedOn w:val="Normale"/>
    <w:qFormat/>
    <w:pPr>
      <w:spacing w:before="100" w:after="100"/>
      <w:ind w:left="360" w:right="360"/>
    </w:pPr>
  </w:style>
  <w:style w:type="paragraph" w:customStyle="1" w:styleId="Preformatted">
    <w:name w:val="Preformatted"/>
    <w:basedOn w:val="Normale"/>
    <w:qFormat/>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cs="Courier New"/>
      <w:sz w:val="20"/>
    </w:rPr>
  </w:style>
  <w:style w:type="paragraph" w:customStyle="1" w:styleId="z-BottomofForm">
    <w:name w:val="z-Bottom of Form"/>
    <w:qFormat/>
    <w:pPr>
      <w:widowControl w:val="0"/>
      <w:pBdr>
        <w:top w:val="double" w:sz="2" w:space="0" w:color="000000"/>
      </w:pBdr>
      <w:jc w:val="center"/>
    </w:pPr>
    <w:rPr>
      <w:rFonts w:ascii="Arial" w:eastAsia="Arial" w:hAnsi="Arial" w:cs="Courier New"/>
      <w:vanish/>
      <w:sz w:val="16"/>
    </w:rPr>
  </w:style>
  <w:style w:type="paragraph" w:customStyle="1" w:styleId="z-TopofForm">
    <w:name w:val="z-Top of Form"/>
    <w:qFormat/>
    <w:pPr>
      <w:widowControl w:val="0"/>
      <w:pBdr>
        <w:bottom w:val="double" w:sz="2" w:space="0" w:color="000000"/>
      </w:pBdr>
      <w:jc w:val="center"/>
    </w:pPr>
    <w:rPr>
      <w:rFonts w:ascii="Arial" w:eastAsia="Arial" w:hAnsi="Arial" w:cs="Courier New"/>
      <w:vanish/>
      <w:sz w:val="16"/>
    </w:rPr>
  </w:style>
  <w:style w:type="paragraph" w:customStyle="1" w:styleId="blocco1riga-1cm">
    <w:name w:val="blocco 1^riga -1cm"/>
    <w:qFormat/>
    <w:pPr>
      <w:tabs>
        <w:tab w:val="left" w:pos="709"/>
      </w:tabs>
      <w:ind w:left="1418" w:hanging="1418"/>
      <w:jc w:val="both"/>
    </w:pPr>
    <w:rPr>
      <w:rFonts w:ascii="Courier;Courier New" w:eastAsia="Times New Roman" w:hAnsi="Courier;Courier New" w:cs="Courier;Courier New"/>
      <w:szCs w:val="20"/>
      <w:lang w:bidi="ar-SA"/>
    </w:rPr>
  </w:style>
  <w:style w:type="paragraph" w:customStyle="1" w:styleId="blocco">
    <w:name w:val="blocco"/>
    <w:qFormat/>
    <w:pPr>
      <w:jc w:val="both"/>
    </w:pPr>
    <w:rPr>
      <w:rFonts w:ascii="Courier;Courier New" w:eastAsia="Times New Roman" w:hAnsi="Courier;Courier New" w:cs="Courier;Courier New"/>
      <w:szCs w:val="20"/>
      <w:lang w:bidi="ar-SA"/>
    </w:rPr>
  </w:style>
  <w:style w:type="paragraph" w:customStyle="1" w:styleId="P3">
    <w:name w:val="P3"/>
    <w:qFormat/>
    <w:pPr>
      <w:ind w:left="4253"/>
    </w:pPr>
    <w:rPr>
      <w:rFonts w:ascii="Courier;Courier New" w:eastAsia="Times New Roman" w:hAnsi="Courier;Courier New" w:cs="Courier;Courier New"/>
      <w:szCs w:val="20"/>
      <w:lang w:bidi="ar-SA"/>
    </w:rPr>
  </w:style>
  <w:style w:type="paragraph" w:customStyle="1" w:styleId="Corpodeltesto31">
    <w:name w:val="Corpo del testo 31"/>
    <w:basedOn w:val="Normale"/>
    <w:qFormat/>
    <w:pPr>
      <w:tabs>
        <w:tab w:val="left" w:pos="1985"/>
      </w:tabs>
      <w:spacing w:after="120"/>
      <w:jc w:val="both"/>
    </w:pPr>
  </w:style>
  <w:style w:type="paragraph" w:customStyle="1" w:styleId="Intestazione10">
    <w:name w:val="Intestazione 10"/>
    <w:qFormat/>
    <w:pPr>
      <w:keepNext/>
      <w:widowControl w:val="0"/>
      <w:spacing w:before="240" w:after="120"/>
    </w:pPr>
    <w:rPr>
      <w:rFonts w:ascii="Arial" w:eastAsia="Comic Sans MS" w:hAnsi="Arial"/>
      <w:b/>
      <w:bCs/>
      <w:sz w:val="21"/>
      <w:szCs w:val="21"/>
    </w:rPr>
  </w:style>
  <w:style w:type="paragraph" w:customStyle="1" w:styleId="Corpodeltesto32">
    <w:name w:val="Corpo del testo 32"/>
    <w:basedOn w:val="Normale"/>
    <w:qFormat/>
    <w:pPr>
      <w:spacing w:after="120"/>
    </w:pPr>
    <w:rPr>
      <w:sz w:val="16"/>
      <w:szCs w:val="16"/>
    </w:rPr>
  </w:style>
  <w:style w:type="paragraph" w:customStyle="1" w:styleId="Testodelblocco1">
    <w:name w:val="Testo del blocco1"/>
    <w:basedOn w:val="Normale"/>
    <w:qFormat/>
    <w:pPr>
      <w:ind w:left="900" w:right="567" w:hanging="1260"/>
      <w:jc w:val="both"/>
    </w:pPr>
    <w:rPr>
      <w:rFonts w:ascii="Comic Sans MS" w:eastAsia="Comic Sans MS" w:hAnsi="Comic Sans MS"/>
    </w:rPr>
  </w:style>
  <w:style w:type="paragraph" w:customStyle="1" w:styleId="WW-Rigadintestazione">
    <w:name w:val="WW-Riga d'intestazione"/>
    <w:basedOn w:val="Normale"/>
    <w:qFormat/>
    <w:pPr>
      <w:tabs>
        <w:tab w:val="center" w:pos="4819"/>
        <w:tab w:val="right" w:pos="9638"/>
      </w:tabs>
    </w:pPr>
  </w:style>
  <w:style w:type="paragraph" w:customStyle="1" w:styleId="WW-Intestazione2">
    <w:name w:val="WW-Intestazione2"/>
    <w:basedOn w:val="Normale"/>
    <w:qFormat/>
    <w:pPr>
      <w:keepNext/>
      <w:spacing w:before="240" w:after="120"/>
    </w:pPr>
    <w:rPr>
      <w:rFonts w:ascii="Arial" w:eastAsia="Mangal" w:hAnsi="Arial"/>
      <w:sz w:val="28"/>
      <w:szCs w:val="28"/>
    </w:rPr>
  </w:style>
  <w:style w:type="paragraph" w:customStyle="1" w:styleId="WW-Intestazione1">
    <w:name w:val="WW-Intestazione1"/>
    <w:basedOn w:val="Normale"/>
    <w:qFormat/>
    <w:pPr>
      <w:keepNext/>
      <w:spacing w:before="240" w:after="120"/>
    </w:pPr>
    <w:rPr>
      <w:rFonts w:ascii="Arial" w:eastAsia="Mangal" w:hAnsi="Arial"/>
      <w:sz w:val="28"/>
      <w:szCs w:val="28"/>
    </w:rPr>
  </w:style>
  <w:style w:type="paragraph" w:customStyle="1" w:styleId="WW-Intestazione">
    <w:name w:val="WW-Intestazione"/>
    <w:basedOn w:val="Normale"/>
    <w:qFormat/>
    <w:pPr>
      <w:keepNext/>
      <w:spacing w:before="240" w:after="120"/>
    </w:pPr>
    <w:rPr>
      <w:rFonts w:ascii="Arial" w:eastAsia="Mangal" w:hAnsi="Arial"/>
      <w:sz w:val="28"/>
      <w:szCs w:val="28"/>
    </w:rPr>
  </w:style>
  <w:style w:type="paragraph" w:customStyle="1" w:styleId="Titolo10">
    <w:name w:val="Titolo1"/>
    <w:basedOn w:val="Normale"/>
    <w:qFormat/>
    <w:pPr>
      <w:keepNext/>
      <w:spacing w:before="240" w:after="120"/>
    </w:pPr>
    <w:rPr>
      <w:rFonts w:ascii="Liberation Sans" w:eastAsia="Arial" w:hAnsi="Liberation Sans"/>
      <w:sz w:val="28"/>
      <w:szCs w:val="28"/>
    </w:rPr>
  </w:style>
  <w:style w:type="numbering" w:customStyle="1" w:styleId="WW8Num1">
    <w:name w:val="WW8Num1"/>
    <w:qFormat/>
  </w:style>
  <w:style w:type="paragraph" w:styleId="NormaleWeb">
    <w:name w:val="Normal (Web)"/>
    <w:basedOn w:val="Normale"/>
    <w:uiPriority w:val="99"/>
    <w:semiHidden/>
    <w:unhideWhenUsed/>
    <w:rsid w:val="004A2E11"/>
    <w:pPr>
      <w:widowControl/>
      <w:suppressAutoHyphens w:val="0"/>
      <w:spacing w:before="100" w:beforeAutospacing="1" w:after="119"/>
    </w:pPr>
    <w:rPr>
      <w:rFonts w:eastAsia="Times New Roman" w:cs="Times New Roman"/>
      <w:color w:val="000000"/>
      <w:kern w:val="0"/>
      <w:lang w:eastAsia="it-IT" w:bidi="ar-SA"/>
    </w:rPr>
  </w:style>
  <w:style w:type="paragraph" w:customStyle="1" w:styleId="western">
    <w:name w:val="western"/>
    <w:basedOn w:val="Normale"/>
    <w:rsid w:val="004A2E11"/>
    <w:pPr>
      <w:widowControl/>
      <w:suppressAutoHyphens w:val="0"/>
      <w:spacing w:before="100" w:beforeAutospacing="1" w:after="119"/>
    </w:pPr>
    <w:rPr>
      <w:rFonts w:eastAsia="Times New Roman" w:cs="Times New Roman"/>
      <w:color w:val="000000"/>
      <w:kern w:val="0"/>
      <w:lang w:eastAsia="it-IT" w:bidi="ar-SA"/>
    </w:rPr>
  </w:style>
  <w:style w:type="character" w:customStyle="1" w:styleId="Titolo1Carattere">
    <w:name w:val="Titolo 1 Carattere"/>
    <w:basedOn w:val="Carpredefinitoparagrafo"/>
    <w:link w:val="Titolo1"/>
    <w:uiPriority w:val="9"/>
    <w:rsid w:val="008F1659"/>
    <w:rPr>
      <w:rFonts w:asciiTheme="majorHAnsi" w:eastAsiaTheme="majorEastAsia" w:hAnsiTheme="majorHAnsi" w:cs="Mangal"/>
      <w:color w:val="2E74B5" w:themeColor="accent1" w:themeShade="BF"/>
      <w:kern w:val="2"/>
      <w:sz w:val="32"/>
      <w:szCs w:val="2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6370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1665</Words>
  <Characters>9491</Characters>
  <Application>Microsoft Office Word</Application>
  <DocSecurity>0</DocSecurity>
  <Lines>79</Lines>
  <Paragraphs>22</Paragraphs>
  <ScaleCrop>false</ScaleCrop>
  <HeadingPairs>
    <vt:vector size="2" baseType="variant">
      <vt:variant>
        <vt:lpstr>Titolo</vt:lpstr>
      </vt:variant>
      <vt:variant>
        <vt:i4>1</vt:i4>
      </vt:variant>
    </vt:vector>
  </HeadingPairs>
  <TitlesOfParts>
    <vt:vector size="1" baseType="lpstr">
      <vt:lpstr>D</vt:lpstr>
    </vt:vector>
  </TitlesOfParts>
  <Company/>
  <LinksUpToDate>false</LinksUpToDate>
  <CharactersWithSpaces>11134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dc:title>
  <dc:subject/>
  <dc:creator>ferruccio.ferruggia</dc:creator>
  <dc:description/>
  <cp:lastModifiedBy>Patrizia Lo Cascio</cp:lastModifiedBy>
  <cp:revision>2</cp:revision>
  <cp:lastPrinted>2024-10-02T14:12:00Z</cp:lastPrinted>
  <dcterms:created xsi:type="dcterms:W3CDTF">2024-10-03T13:01:00Z</dcterms:created>
  <dcterms:modified xsi:type="dcterms:W3CDTF">2024-10-03T13:01:00Z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Encoding">
    <vt:lpwstr>utf-8</vt:lpwstr>
  </property>
  <property fmtid="{D5CDD505-2E9C-101B-9397-08002B2CF9AE}" pid="3" name="HTML">
    <vt:bool>true</vt:bool>
  </property>
  <property fmtid="{D5CDD505-2E9C-101B-9397-08002B2CF9AE}" pid="4" name="_DocHome">
    <vt:i4>1161123143</vt:i4>
  </property>
</Properties>
</file>