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D82CBE" w14:textId="77777777" w:rsidR="001813DC" w:rsidRDefault="002D301D">
      <w:pPr>
        <w:tabs>
          <w:tab w:val="left" w:pos="5245"/>
        </w:tabs>
        <w:ind w:right="-108"/>
        <w:jc w:val="center"/>
        <w:rPr>
          <w:rFonts w:cs="Calibri"/>
        </w:rPr>
      </w:pPr>
      <w:r>
        <w:rPr>
          <w:noProof/>
        </w:rPr>
        <w:drawing>
          <wp:inline distT="0" distB="0" distL="0" distR="0" wp14:anchorId="51F0E1AF" wp14:editId="210ECEFE">
            <wp:extent cx="4579620" cy="388620"/>
            <wp:effectExtent l="0" t="0" r="0" b="0"/>
            <wp:docPr id="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
                    <pic:cNvPicPr>
                      <a:picLocks noChangeAspect="1" noChangeArrowheads="1"/>
                    </pic:cNvPicPr>
                  </pic:nvPicPr>
                  <pic:blipFill>
                    <a:blip r:embed="rId4"/>
                    <a:srcRect l="6290" t="23847" r="4936" b="21609"/>
                    <a:stretch>
                      <a:fillRect/>
                    </a:stretch>
                  </pic:blipFill>
                  <pic:spPr bwMode="auto">
                    <a:xfrm>
                      <a:off x="0" y="0"/>
                      <a:ext cx="4579620" cy="388620"/>
                    </a:xfrm>
                    <a:prstGeom prst="rect">
                      <a:avLst/>
                    </a:prstGeom>
                  </pic:spPr>
                </pic:pic>
              </a:graphicData>
            </a:graphic>
          </wp:inline>
        </w:drawing>
      </w:r>
    </w:p>
    <w:p w14:paraId="4A394F89" w14:textId="77777777" w:rsidR="001813DC" w:rsidRDefault="002D301D">
      <w:pPr>
        <w:tabs>
          <w:tab w:val="left" w:pos="5245"/>
        </w:tabs>
        <w:ind w:right="-108"/>
        <w:jc w:val="center"/>
        <w:rPr>
          <w:rFonts w:cs="Calibri"/>
          <w:b/>
          <w:sz w:val="14"/>
          <w:szCs w:val="14"/>
        </w:rPr>
      </w:pPr>
      <w:r>
        <w:rPr>
          <w:rFonts w:cs="Calibri"/>
          <w:b/>
          <w:sz w:val="14"/>
          <w:szCs w:val="14"/>
        </w:rPr>
        <w:t>REPUBBLICA ITALIANA</w:t>
      </w:r>
    </w:p>
    <w:p w14:paraId="13AD24CC" w14:textId="77777777" w:rsidR="001813DC" w:rsidRDefault="002D301D">
      <w:pPr>
        <w:tabs>
          <w:tab w:val="left" w:pos="5245"/>
        </w:tabs>
        <w:ind w:right="-108"/>
        <w:jc w:val="center"/>
        <w:rPr>
          <w:rFonts w:cs="Calibri"/>
          <w:b/>
          <w:sz w:val="40"/>
          <w:szCs w:val="40"/>
        </w:rPr>
      </w:pPr>
      <w:r>
        <w:rPr>
          <w:noProof/>
        </w:rPr>
        <w:drawing>
          <wp:inline distT="0" distB="0" distL="0" distR="3810" wp14:anchorId="5027A6A3" wp14:editId="1C30962E">
            <wp:extent cx="472440" cy="579120"/>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pic:cNvPicPr>
                      <a:picLocks noChangeAspect="1" noChangeArrowheads="1"/>
                    </pic:cNvPicPr>
                  </pic:nvPicPr>
                  <pic:blipFill>
                    <a:blip r:embed="rId5"/>
                    <a:stretch>
                      <a:fillRect/>
                    </a:stretch>
                  </pic:blipFill>
                  <pic:spPr bwMode="auto">
                    <a:xfrm>
                      <a:off x="0" y="0"/>
                      <a:ext cx="472440" cy="579120"/>
                    </a:xfrm>
                    <a:prstGeom prst="rect">
                      <a:avLst/>
                    </a:prstGeom>
                  </pic:spPr>
                </pic:pic>
              </a:graphicData>
            </a:graphic>
          </wp:inline>
        </w:drawing>
      </w:r>
    </w:p>
    <w:p w14:paraId="74695A68" w14:textId="77777777" w:rsidR="001813DC" w:rsidRDefault="002D301D">
      <w:pPr>
        <w:tabs>
          <w:tab w:val="left" w:pos="5245"/>
        </w:tabs>
        <w:ind w:left="-108" w:right="-108"/>
        <w:jc w:val="center"/>
        <w:rPr>
          <w:rFonts w:cs="Calibri"/>
          <w:sz w:val="18"/>
          <w:szCs w:val="18"/>
        </w:rPr>
      </w:pPr>
      <w:r>
        <w:rPr>
          <w:rFonts w:cs="Calibri"/>
          <w:b/>
          <w:sz w:val="40"/>
          <w:szCs w:val="40"/>
        </w:rPr>
        <w:t>Regione</w:t>
      </w:r>
      <w:r>
        <w:rPr>
          <w:rFonts w:cs="Calibri"/>
          <w:sz w:val="40"/>
          <w:szCs w:val="40"/>
        </w:rPr>
        <w:t xml:space="preserve"> </w:t>
      </w:r>
      <w:r>
        <w:rPr>
          <w:rFonts w:cs="Calibri"/>
          <w:b/>
          <w:sz w:val="40"/>
          <w:szCs w:val="40"/>
        </w:rPr>
        <w:t>Siciliana</w:t>
      </w:r>
    </w:p>
    <w:p w14:paraId="08BE3FBF" w14:textId="77777777" w:rsidR="001813DC" w:rsidRDefault="002D301D">
      <w:pPr>
        <w:tabs>
          <w:tab w:val="left" w:pos="5245"/>
        </w:tabs>
        <w:ind w:left="-108" w:right="-108" w:firstLine="108"/>
        <w:jc w:val="center"/>
        <w:rPr>
          <w:rFonts w:cs="Calibri"/>
          <w:smallCaps/>
          <w:sz w:val="18"/>
          <w:szCs w:val="16"/>
        </w:rPr>
      </w:pPr>
      <w:r>
        <w:rPr>
          <w:rFonts w:cs="Calibri"/>
          <w:smallCaps/>
          <w:sz w:val="18"/>
          <w:szCs w:val="16"/>
        </w:rPr>
        <w:t>Assessorato dell’Agricoltura, dello Sviluppo Rurale e della Pesca Mediterranea</w:t>
      </w:r>
    </w:p>
    <w:p w14:paraId="05A02E86" w14:textId="77777777" w:rsidR="001813DC" w:rsidRDefault="002D301D">
      <w:pPr>
        <w:tabs>
          <w:tab w:val="left" w:pos="5245"/>
        </w:tabs>
        <w:ind w:left="-108" w:right="-108" w:firstLine="108"/>
        <w:jc w:val="center"/>
        <w:rPr>
          <w:rFonts w:ascii="Times New Roman" w:hAnsi="Times New Roman" w:cs="Times New Roman"/>
          <w:b/>
          <w:bCs/>
          <w:sz w:val="16"/>
          <w:szCs w:val="16"/>
        </w:rPr>
      </w:pPr>
      <w:r>
        <w:rPr>
          <w:rFonts w:cs="Calibri"/>
          <w:smallCaps/>
          <w:sz w:val="18"/>
          <w:szCs w:val="16"/>
        </w:rPr>
        <w:t>Dipartimento della Pesca Mediterranea</w:t>
      </w:r>
      <w:r>
        <w:rPr>
          <w:smallCaps/>
          <w:szCs w:val="16"/>
        </w:rPr>
        <w:br/>
      </w:r>
    </w:p>
    <w:p w14:paraId="5251771C" w14:textId="6E3D075E" w:rsidR="001813DC" w:rsidRDefault="002D301D">
      <w:pPr>
        <w:pStyle w:val="CM14"/>
        <w:spacing w:line="236" w:lineRule="atLeast"/>
        <w:jc w:val="center"/>
      </w:pPr>
      <w:r>
        <w:rPr>
          <w:rFonts w:ascii="Times New Roman" w:hAnsi="Times New Roman" w:cs="Times New Roman"/>
          <w:b/>
          <w:bCs/>
          <w:sz w:val="16"/>
          <w:szCs w:val="16"/>
        </w:rPr>
        <w:t xml:space="preserve">OBIETTIVO SPECIFICO 2.2 – AZIONE 1 – TRANSIZIONE ENERGETICA E MITIGAZIONE DEGLI IMPATTI </w:t>
      </w:r>
      <w:r>
        <w:rPr>
          <w:rFonts w:ascii="Times New Roman" w:hAnsi="Times New Roman" w:cs="Times New Roman"/>
          <w:b/>
          <w:bCs/>
          <w:sz w:val="16"/>
          <w:szCs w:val="16"/>
        </w:rPr>
        <w:t>AMBIENTALI DEGLI IMPIANTI DI COMMERCIALIZZAZIONE E TRASFORMAZIONE DEI PRODOTTI DELLA PESCA E</w:t>
      </w:r>
      <w:r>
        <w:rPr>
          <w:rFonts w:ascii="Times New Roman" w:hAnsi="Times New Roman" w:cs="Times New Roman"/>
          <w:b/>
          <w:bCs/>
          <w:sz w:val="16"/>
          <w:szCs w:val="16"/>
        </w:rPr>
        <w:t xml:space="preserve"> DELL’ ACQUACOLTURA</w:t>
      </w:r>
    </w:p>
    <w:p w14:paraId="1A533D1F" w14:textId="77777777" w:rsidR="001813DC" w:rsidRDefault="001813DC">
      <w:pPr>
        <w:pStyle w:val="Default"/>
        <w:jc w:val="center"/>
        <w:rPr>
          <w:rFonts w:ascii="Times New Roman" w:hAnsi="Times New Roman" w:cs="Times New Roman"/>
          <w:b/>
          <w:bCs/>
          <w:color w:val="auto"/>
          <w:spacing w:val="26"/>
          <w:sz w:val="14"/>
          <w:szCs w:val="14"/>
        </w:rPr>
      </w:pPr>
    </w:p>
    <w:p w14:paraId="065CA0D6" w14:textId="77777777" w:rsidR="001813DC" w:rsidRDefault="002D301D">
      <w:pPr>
        <w:jc w:val="center"/>
      </w:pPr>
      <w:r>
        <w:rPr>
          <w:sz w:val="15"/>
          <w:szCs w:val="15"/>
        </w:rPr>
        <w:t>REGG. (</w:t>
      </w:r>
      <w:proofErr w:type="gramStart"/>
      <w:r>
        <w:rPr>
          <w:sz w:val="15"/>
          <w:szCs w:val="15"/>
        </w:rPr>
        <w:t>UE)  2021</w:t>
      </w:r>
      <w:proofErr w:type="gramEnd"/>
      <w:r>
        <w:rPr>
          <w:sz w:val="15"/>
          <w:szCs w:val="15"/>
        </w:rPr>
        <w:t>/1060  e  2021/1139</w:t>
      </w:r>
    </w:p>
    <w:p w14:paraId="2A92EBAA" w14:textId="77777777" w:rsidR="001813DC" w:rsidRDefault="001813DC">
      <w:pPr>
        <w:jc w:val="center"/>
        <w:rPr>
          <w:b/>
          <w:bCs/>
        </w:rPr>
      </w:pPr>
    </w:p>
    <w:p w14:paraId="61679BE4" w14:textId="17ABC933" w:rsidR="001813DC" w:rsidRDefault="002D301D">
      <w:pPr>
        <w:jc w:val="center"/>
        <w:rPr>
          <w:b/>
          <w:bCs/>
        </w:rPr>
      </w:pPr>
      <w:r>
        <w:rPr>
          <w:b/>
          <w:bCs/>
        </w:rPr>
        <w:t xml:space="preserve">ALLEGATO </w:t>
      </w:r>
      <w:r w:rsidR="00C101D1">
        <w:rPr>
          <w:b/>
          <w:bCs/>
        </w:rPr>
        <w:t>O</w:t>
      </w:r>
      <w:r>
        <w:rPr>
          <w:b/>
          <w:bCs/>
        </w:rPr>
        <w:t xml:space="preserve"> – NOTA METODOLOGICA AI CRITERI DI SELEZIONE</w:t>
      </w:r>
    </w:p>
    <w:p w14:paraId="5ED47070" w14:textId="77777777" w:rsidR="001813DC" w:rsidRDefault="001813DC">
      <w:pPr>
        <w:jc w:val="center"/>
        <w:rPr>
          <w:b/>
          <w:bCs/>
        </w:rPr>
      </w:pPr>
    </w:p>
    <w:p w14:paraId="16EA6722" w14:textId="77777777" w:rsidR="001813DC" w:rsidRDefault="002D301D">
      <w:pPr>
        <w:spacing w:line="276" w:lineRule="auto"/>
        <w:jc w:val="both"/>
      </w:pPr>
      <w:r>
        <w:t>Di seguito si riportano delle note metodologiche interpretative per l’applicazione di ciascun criterio di selezione.</w:t>
      </w:r>
    </w:p>
    <w:p w14:paraId="39835327" w14:textId="77777777" w:rsidR="001813DC" w:rsidRDefault="002D301D">
      <w:pPr>
        <w:spacing w:line="276" w:lineRule="auto"/>
        <w:jc w:val="both"/>
      </w:pPr>
      <w:r>
        <w:rPr>
          <w:b/>
          <w:bCs/>
          <w:sz w:val="20"/>
          <w:szCs w:val="20"/>
        </w:rPr>
        <w:t xml:space="preserve"> Nota metodologica ai criteri di selezione</w:t>
      </w:r>
    </w:p>
    <w:tbl>
      <w:tblPr>
        <w:tblStyle w:val="Grigliatabella"/>
        <w:tblW w:w="9628" w:type="dxa"/>
        <w:tblInd w:w="0" w:type="dxa"/>
        <w:tblLook w:val="04A0" w:firstRow="1" w:lastRow="0" w:firstColumn="1" w:lastColumn="0" w:noHBand="0" w:noVBand="1"/>
      </w:tblPr>
      <w:tblGrid>
        <w:gridCol w:w="846"/>
        <w:gridCol w:w="4252"/>
        <w:gridCol w:w="4530"/>
      </w:tblGrid>
      <w:tr w:rsidR="001813DC" w14:paraId="4D843F20" w14:textId="77777777" w:rsidTr="002D301D">
        <w:tc>
          <w:tcPr>
            <w:tcW w:w="846" w:type="dxa"/>
            <w:shd w:val="clear" w:color="auto" w:fill="D9E2F3" w:themeFill="accent1" w:themeFillTint="33"/>
          </w:tcPr>
          <w:p w14:paraId="7E19C3CC" w14:textId="77777777" w:rsidR="001813DC" w:rsidRDefault="002D301D">
            <w:pPr>
              <w:spacing w:line="276" w:lineRule="auto"/>
              <w:jc w:val="center"/>
            </w:pPr>
            <w:r>
              <w:rPr>
                <w:rFonts w:cstheme="minorHAnsi"/>
                <w:b/>
                <w:bCs/>
              </w:rPr>
              <w:t>N.</w:t>
            </w:r>
          </w:p>
        </w:tc>
        <w:tc>
          <w:tcPr>
            <w:tcW w:w="4252" w:type="dxa"/>
            <w:shd w:val="clear" w:color="auto" w:fill="D9E2F3" w:themeFill="accent1" w:themeFillTint="33"/>
          </w:tcPr>
          <w:p w14:paraId="3D797800" w14:textId="77777777" w:rsidR="001813DC" w:rsidRDefault="002D301D">
            <w:pPr>
              <w:spacing w:line="276" w:lineRule="auto"/>
              <w:jc w:val="center"/>
            </w:pPr>
            <w:r>
              <w:rPr>
                <w:rFonts w:cstheme="minorHAnsi"/>
                <w:b/>
                <w:bCs/>
                <w:sz w:val="20"/>
                <w:szCs w:val="20"/>
              </w:rPr>
              <w:t>CRITERI DI SELEZIONE DELLE OPERAZIONI</w:t>
            </w:r>
          </w:p>
        </w:tc>
        <w:tc>
          <w:tcPr>
            <w:tcW w:w="4530" w:type="dxa"/>
            <w:shd w:val="clear" w:color="auto" w:fill="D9E2F3" w:themeFill="accent1" w:themeFillTint="33"/>
          </w:tcPr>
          <w:p w14:paraId="77FD5A75" w14:textId="77777777" w:rsidR="001813DC" w:rsidRDefault="002D301D">
            <w:pPr>
              <w:spacing w:line="276" w:lineRule="auto"/>
              <w:jc w:val="center"/>
            </w:pPr>
            <w:r>
              <w:rPr>
                <w:rFonts w:cstheme="minorHAnsi"/>
                <w:b/>
                <w:bCs/>
              </w:rPr>
              <w:t>Nota metodologica</w:t>
            </w:r>
          </w:p>
        </w:tc>
      </w:tr>
      <w:tr w:rsidR="001813DC" w14:paraId="12496D48" w14:textId="77777777" w:rsidTr="0067599D">
        <w:tc>
          <w:tcPr>
            <w:tcW w:w="9628" w:type="dxa"/>
            <w:gridSpan w:val="3"/>
            <w:shd w:val="clear" w:color="auto" w:fill="EDEDED" w:themeFill="accent3" w:themeFillTint="33"/>
          </w:tcPr>
          <w:p w14:paraId="65769BF2" w14:textId="77777777" w:rsidR="001813DC" w:rsidRDefault="002D301D">
            <w:pPr>
              <w:spacing w:line="276" w:lineRule="auto"/>
            </w:pPr>
            <w:r>
              <w:rPr>
                <w:rFonts w:cstheme="minorHAnsi"/>
                <w:b/>
                <w:bCs/>
                <w:i/>
                <w:iCs/>
                <w:color w:val="000000"/>
                <w:sz w:val="20"/>
                <w:szCs w:val="20"/>
              </w:rPr>
              <w:t>CRITERI TRASVERSALI</w:t>
            </w:r>
          </w:p>
        </w:tc>
      </w:tr>
      <w:tr w:rsidR="001813DC" w14:paraId="580DA2D9" w14:textId="77777777" w:rsidTr="002D301D">
        <w:tc>
          <w:tcPr>
            <w:tcW w:w="846" w:type="dxa"/>
            <w:shd w:val="clear" w:color="auto" w:fill="auto"/>
          </w:tcPr>
          <w:p w14:paraId="25F218E2" w14:textId="77777777" w:rsidR="001813DC" w:rsidRDefault="002D301D">
            <w:pPr>
              <w:spacing w:line="276" w:lineRule="auto"/>
              <w:jc w:val="center"/>
            </w:pPr>
            <w:r>
              <w:rPr>
                <w:rFonts w:cstheme="minorHAnsi"/>
                <w:sz w:val="20"/>
                <w:szCs w:val="20"/>
              </w:rPr>
              <w:t>T1</w:t>
            </w:r>
          </w:p>
        </w:tc>
        <w:tc>
          <w:tcPr>
            <w:tcW w:w="4252" w:type="dxa"/>
            <w:shd w:val="clear" w:color="auto" w:fill="auto"/>
          </w:tcPr>
          <w:p w14:paraId="53B152A5" w14:textId="77777777" w:rsidR="001813DC" w:rsidRDefault="002D301D">
            <w:pPr>
              <w:spacing w:line="276" w:lineRule="auto"/>
              <w:jc w:val="both"/>
            </w:pPr>
            <w:r>
              <w:rPr>
                <w:rFonts w:cstheme="minorHAnsi"/>
                <w:sz w:val="20"/>
                <w:szCs w:val="20"/>
              </w:rPr>
              <w:t xml:space="preserve">Il soggetto richiedente è di sesso femminile ovvero la maggioranza delle quote di rappresentanza negli organismi decisionali è detenuta da persone di sesso femminile, ovvero la maggioranza della forza lavoro è di sesso femminile </w:t>
            </w:r>
          </w:p>
        </w:tc>
        <w:tc>
          <w:tcPr>
            <w:tcW w:w="4530" w:type="dxa"/>
            <w:shd w:val="clear" w:color="auto" w:fill="auto"/>
          </w:tcPr>
          <w:p w14:paraId="54BC54CA" w14:textId="77777777" w:rsidR="001813DC" w:rsidRDefault="002D301D">
            <w:pPr>
              <w:spacing w:line="276" w:lineRule="auto"/>
              <w:jc w:val="both"/>
            </w:pPr>
            <w:r>
              <w:rPr>
                <w:rFonts w:cstheme="minorHAnsi"/>
                <w:sz w:val="20"/>
                <w:szCs w:val="20"/>
              </w:rPr>
              <w:t>Il legale rappresentante è di sesso femminile, ovvero la maggioranza delle quote dell’organo decisionale è detenuta da persone di sesso femminile, ovvero la maggioranza della forza lavoro della componente femminile sulla forza lavoro complessiva del richiedente deve essere calcolata in termini di ULA; tale rapporto dovrà essere superiore al 50% per il conseguimento del valore pari ad 1 del coefficiente C</w:t>
            </w:r>
          </w:p>
        </w:tc>
      </w:tr>
      <w:tr w:rsidR="001813DC" w14:paraId="3A9E4A63" w14:textId="77777777" w:rsidTr="002D301D">
        <w:tc>
          <w:tcPr>
            <w:tcW w:w="846" w:type="dxa"/>
            <w:shd w:val="clear" w:color="auto" w:fill="auto"/>
          </w:tcPr>
          <w:p w14:paraId="1E2D3407" w14:textId="77777777" w:rsidR="001813DC" w:rsidRDefault="002D301D">
            <w:pPr>
              <w:spacing w:line="276" w:lineRule="auto"/>
              <w:jc w:val="center"/>
            </w:pPr>
            <w:r>
              <w:rPr>
                <w:rFonts w:cstheme="minorHAnsi"/>
                <w:sz w:val="20"/>
                <w:szCs w:val="20"/>
              </w:rPr>
              <w:t>T2</w:t>
            </w:r>
          </w:p>
        </w:tc>
        <w:tc>
          <w:tcPr>
            <w:tcW w:w="4252" w:type="dxa"/>
            <w:shd w:val="clear" w:color="auto" w:fill="auto"/>
          </w:tcPr>
          <w:p w14:paraId="4731B82D" w14:textId="77777777" w:rsidR="001813DC" w:rsidRDefault="002D301D">
            <w:pPr>
              <w:spacing w:line="276" w:lineRule="auto"/>
              <w:jc w:val="both"/>
            </w:pPr>
            <w:r>
              <w:rPr>
                <w:rFonts w:cstheme="minorHAnsi"/>
                <w:sz w:val="20"/>
                <w:szCs w:val="20"/>
              </w:rPr>
              <w:t xml:space="preserve">Minore età del rappresentante legale ovvero minore età media dei componenti degli organi decisionale ovvero minore età della maggioranza della forza lavoro </w:t>
            </w:r>
          </w:p>
        </w:tc>
        <w:tc>
          <w:tcPr>
            <w:tcW w:w="4530" w:type="dxa"/>
            <w:shd w:val="clear" w:color="auto" w:fill="auto"/>
          </w:tcPr>
          <w:p w14:paraId="597362B3" w14:textId="77777777" w:rsidR="001813DC" w:rsidRDefault="002D301D">
            <w:pPr>
              <w:spacing w:line="276" w:lineRule="auto"/>
              <w:jc w:val="both"/>
            </w:pPr>
            <w:r>
              <w:rPr>
                <w:rFonts w:cstheme="minorHAnsi"/>
                <w:sz w:val="20"/>
                <w:szCs w:val="20"/>
              </w:rPr>
              <w:t>Minore età del legale rappresentante, ovvero minore età media dei componenti degli organi decisionali ovvero la minore età della forza lavoro, così come la forza lavoro totale, deve essere calcolata in termini di ULA; il rapporto tra la forza lavoro di unità lavorative con età inferiore o uguale ad anni 40 e la forza lavoro totale dovrà essere superiore al 50% per il conseguimento del valore pari ad 1 del coefficiente C</w:t>
            </w:r>
          </w:p>
        </w:tc>
      </w:tr>
      <w:tr w:rsidR="001813DC" w14:paraId="2AFB880B" w14:textId="77777777" w:rsidTr="0067599D">
        <w:tc>
          <w:tcPr>
            <w:tcW w:w="9628" w:type="dxa"/>
            <w:gridSpan w:val="3"/>
            <w:shd w:val="clear" w:color="auto" w:fill="EDEDED" w:themeFill="accent3" w:themeFillTint="33"/>
          </w:tcPr>
          <w:p w14:paraId="65989E3D" w14:textId="77777777" w:rsidR="001813DC" w:rsidRDefault="002D301D">
            <w:pPr>
              <w:spacing w:line="276" w:lineRule="auto"/>
            </w:pPr>
            <w:r>
              <w:rPr>
                <w:rFonts w:cstheme="minorHAnsi"/>
                <w:b/>
                <w:bCs/>
                <w:i/>
                <w:iCs/>
                <w:color w:val="000000"/>
                <w:sz w:val="20"/>
                <w:szCs w:val="20"/>
              </w:rPr>
              <w:t>CRITERI SPECIFICI DEL RICHIEDENTE</w:t>
            </w:r>
          </w:p>
        </w:tc>
      </w:tr>
      <w:tr w:rsidR="001813DC" w14:paraId="51019B42" w14:textId="77777777" w:rsidTr="002D301D">
        <w:tc>
          <w:tcPr>
            <w:tcW w:w="846" w:type="dxa"/>
            <w:shd w:val="clear" w:color="auto" w:fill="auto"/>
          </w:tcPr>
          <w:p w14:paraId="0E9EC778" w14:textId="77777777" w:rsidR="001813DC" w:rsidRDefault="002D301D">
            <w:pPr>
              <w:spacing w:line="276" w:lineRule="auto"/>
              <w:jc w:val="center"/>
            </w:pPr>
            <w:r>
              <w:rPr>
                <w:rFonts w:cstheme="minorHAnsi"/>
                <w:sz w:val="20"/>
                <w:szCs w:val="20"/>
              </w:rPr>
              <w:t>SR1</w:t>
            </w:r>
          </w:p>
        </w:tc>
        <w:tc>
          <w:tcPr>
            <w:tcW w:w="4252" w:type="dxa"/>
            <w:shd w:val="clear" w:color="auto" w:fill="auto"/>
          </w:tcPr>
          <w:p w14:paraId="7C570648" w14:textId="77777777" w:rsidR="001813DC" w:rsidRDefault="002D301D">
            <w:pPr>
              <w:spacing w:line="276" w:lineRule="auto"/>
              <w:jc w:val="both"/>
            </w:pPr>
            <w:r>
              <w:rPr>
                <w:rFonts w:cstheme="minorHAnsi"/>
                <w:sz w:val="20"/>
                <w:szCs w:val="20"/>
              </w:rPr>
              <w:t xml:space="preserve">Il richiedente è una Micro, Piccola e Media Impresa (PMI) </w:t>
            </w:r>
          </w:p>
        </w:tc>
        <w:tc>
          <w:tcPr>
            <w:tcW w:w="4530" w:type="dxa"/>
            <w:shd w:val="clear" w:color="auto" w:fill="auto"/>
          </w:tcPr>
          <w:p w14:paraId="3198E122" w14:textId="77777777" w:rsidR="001813DC" w:rsidRDefault="002D301D">
            <w:pPr>
              <w:spacing w:line="276" w:lineRule="auto"/>
              <w:jc w:val="both"/>
            </w:pPr>
            <w:r>
              <w:rPr>
                <w:rFonts w:cstheme="minorHAnsi"/>
                <w:sz w:val="20"/>
                <w:szCs w:val="20"/>
              </w:rPr>
              <w:t>I dettagli sui parametri di riferimento delle PMI sono contenuti nella Raccomandazione dell’Unione Europa n. 2003/361/CE, recepita in Italia con il Decreto Ministeriale 18 aprile 2005. Il criterio mira a favorire le imprese aventi parametri di forza lavoro e consistenza dei bilanci più piccoli</w:t>
            </w:r>
          </w:p>
        </w:tc>
      </w:tr>
      <w:tr w:rsidR="001813DC" w14:paraId="23B1448D" w14:textId="77777777" w:rsidTr="002D301D">
        <w:tc>
          <w:tcPr>
            <w:tcW w:w="846" w:type="dxa"/>
            <w:shd w:val="clear" w:color="auto" w:fill="auto"/>
          </w:tcPr>
          <w:p w14:paraId="45AE1EE0" w14:textId="77777777" w:rsidR="001813DC" w:rsidRDefault="002D301D">
            <w:pPr>
              <w:spacing w:line="276" w:lineRule="auto"/>
              <w:jc w:val="center"/>
            </w:pPr>
            <w:r>
              <w:rPr>
                <w:rFonts w:cstheme="minorHAnsi"/>
                <w:color w:val="000000"/>
                <w:sz w:val="20"/>
                <w:szCs w:val="20"/>
              </w:rPr>
              <w:t>SR2</w:t>
            </w:r>
          </w:p>
        </w:tc>
        <w:tc>
          <w:tcPr>
            <w:tcW w:w="4252" w:type="dxa"/>
            <w:shd w:val="clear" w:color="auto" w:fill="auto"/>
          </w:tcPr>
          <w:p w14:paraId="43E3406E" w14:textId="77777777" w:rsidR="001813DC" w:rsidRDefault="002D301D">
            <w:pPr>
              <w:spacing w:line="276" w:lineRule="auto"/>
              <w:jc w:val="both"/>
            </w:pPr>
            <w:r>
              <w:rPr>
                <w:rFonts w:cstheme="minorHAnsi"/>
                <w:sz w:val="20"/>
                <w:szCs w:val="20"/>
              </w:rPr>
              <w:t>Il richiedente è in possesso della certificazione per la parità di genere in base alla prassi UNI/PdR125:2022</w:t>
            </w:r>
          </w:p>
        </w:tc>
        <w:tc>
          <w:tcPr>
            <w:tcW w:w="4530" w:type="dxa"/>
            <w:shd w:val="clear" w:color="auto" w:fill="auto"/>
          </w:tcPr>
          <w:p w14:paraId="002B99A0" w14:textId="77777777" w:rsidR="001813DC" w:rsidRDefault="002D301D">
            <w:pPr>
              <w:spacing w:line="276" w:lineRule="auto"/>
              <w:jc w:val="both"/>
            </w:pPr>
            <w:r>
              <w:rPr>
                <w:rFonts w:cstheme="minorHAnsi"/>
                <w:sz w:val="20"/>
                <w:szCs w:val="20"/>
              </w:rPr>
              <w:t>Riferimento alle linee guida sul sistema di gestione per la parità di genere previsto dall’UNI Ente Italiano di Normazione</w:t>
            </w:r>
            <w:r>
              <w:rPr>
                <w:rFonts w:cstheme="minorHAnsi"/>
              </w:rPr>
              <w:t xml:space="preserve"> </w:t>
            </w:r>
          </w:p>
        </w:tc>
      </w:tr>
      <w:tr w:rsidR="001813DC" w14:paraId="073CEF08" w14:textId="77777777" w:rsidTr="002D301D">
        <w:tc>
          <w:tcPr>
            <w:tcW w:w="846" w:type="dxa"/>
            <w:shd w:val="clear" w:color="auto" w:fill="auto"/>
          </w:tcPr>
          <w:p w14:paraId="629F9C41" w14:textId="77777777" w:rsidR="001813DC" w:rsidRDefault="002D301D">
            <w:pPr>
              <w:spacing w:line="276" w:lineRule="auto"/>
              <w:jc w:val="center"/>
            </w:pPr>
            <w:r>
              <w:rPr>
                <w:rFonts w:cstheme="minorHAnsi"/>
                <w:color w:val="000000"/>
                <w:sz w:val="20"/>
                <w:szCs w:val="20"/>
              </w:rPr>
              <w:t>SR3</w:t>
            </w:r>
          </w:p>
        </w:tc>
        <w:tc>
          <w:tcPr>
            <w:tcW w:w="4252" w:type="dxa"/>
            <w:shd w:val="clear" w:color="auto" w:fill="auto"/>
          </w:tcPr>
          <w:p w14:paraId="203A5955" w14:textId="77777777" w:rsidR="001813DC" w:rsidRDefault="002D301D">
            <w:pPr>
              <w:spacing w:line="276" w:lineRule="auto"/>
              <w:jc w:val="both"/>
            </w:pPr>
            <w:r>
              <w:rPr>
                <w:rFonts w:cstheme="minorHAnsi"/>
                <w:sz w:val="20"/>
                <w:szCs w:val="20"/>
              </w:rPr>
              <w:t xml:space="preserve">Esperienza del richiedente nel campo dell’inclusione sociale </w:t>
            </w:r>
          </w:p>
        </w:tc>
        <w:tc>
          <w:tcPr>
            <w:tcW w:w="4530" w:type="dxa"/>
            <w:shd w:val="clear" w:color="auto" w:fill="auto"/>
          </w:tcPr>
          <w:p w14:paraId="7981E50C" w14:textId="77777777" w:rsidR="001813DC" w:rsidRDefault="002D301D">
            <w:pPr>
              <w:spacing w:line="276" w:lineRule="auto"/>
              <w:jc w:val="both"/>
            </w:pPr>
            <w:r>
              <w:rPr>
                <w:rFonts w:ascii="Times New Roman" w:hAnsi="Times New Roman" w:cs="Times New Roman"/>
                <w:sz w:val="20"/>
                <w:szCs w:val="20"/>
              </w:rPr>
              <w:t xml:space="preserve">Dovrà essere valutato se il richiedente ha partecipato a corsi di formazione ovvero ha lavorato nel </w:t>
            </w:r>
            <w:r>
              <w:rPr>
                <w:rFonts w:ascii="Times New Roman" w:hAnsi="Times New Roman" w:cs="Times New Roman"/>
                <w:sz w:val="20"/>
                <w:szCs w:val="20"/>
              </w:rPr>
              <w:t>campo del sociale, anche in maniera volontaria, ovvero ha avviato processi di inclusione sociale. Nel caso di imprese tale requisito, per essere valutato con coefficiente C pari ad uno, può essere posseduto dal rappresentante legale, amministratore unico ovvero da uno dei componenti dell’organo decisionale.</w:t>
            </w:r>
          </w:p>
        </w:tc>
      </w:tr>
      <w:tr w:rsidR="001813DC" w14:paraId="0A8D5BF5" w14:textId="77777777" w:rsidTr="002D301D">
        <w:tc>
          <w:tcPr>
            <w:tcW w:w="846" w:type="dxa"/>
            <w:shd w:val="clear" w:color="auto" w:fill="auto"/>
          </w:tcPr>
          <w:p w14:paraId="47AAA826" w14:textId="77777777" w:rsidR="001813DC" w:rsidRDefault="002D301D">
            <w:pPr>
              <w:spacing w:line="276" w:lineRule="auto"/>
              <w:jc w:val="center"/>
            </w:pPr>
            <w:r>
              <w:rPr>
                <w:rFonts w:cstheme="minorHAnsi"/>
                <w:color w:val="000000"/>
                <w:sz w:val="20"/>
                <w:szCs w:val="20"/>
              </w:rPr>
              <w:t>SR4</w:t>
            </w:r>
          </w:p>
        </w:tc>
        <w:tc>
          <w:tcPr>
            <w:tcW w:w="4252" w:type="dxa"/>
            <w:shd w:val="clear" w:color="auto" w:fill="auto"/>
          </w:tcPr>
          <w:p w14:paraId="79019404" w14:textId="77777777" w:rsidR="001813DC" w:rsidRDefault="002D301D">
            <w:pPr>
              <w:spacing w:line="276" w:lineRule="auto"/>
              <w:jc w:val="both"/>
            </w:pPr>
            <w:r>
              <w:rPr>
                <w:rFonts w:cstheme="minorHAnsi"/>
                <w:sz w:val="20"/>
                <w:szCs w:val="20"/>
              </w:rPr>
              <w:t xml:space="preserve">Numero di dipendenti presenti in azienda con disabilità </w:t>
            </w:r>
          </w:p>
        </w:tc>
        <w:tc>
          <w:tcPr>
            <w:tcW w:w="4530" w:type="dxa"/>
            <w:shd w:val="clear" w:color="auto" w:fill="auto"/>
          </w:tcPr>
          <w:p w14:paraId="4C9851F7" w14:textId="77777777" w:rsidR="001813DC" w:rsidRDefault="002D301D">
            <w:pPr>
              <w:spacing w:line="276" w:lineRule="auto"/>
              <w:jc w:val="both"/>
            </w:pPr>
            <w:r>
              <w:rPr>
                <w:rFonts w:cstheme="minorHAnsi"/>
                <w:sz w:val="20"/>
                <w:szCs w:val="20"/>
              </w:rPr>
              <w:t>Il parametro deve essere sempre calcolato in termini di ULA assegnando il valore zero al coefficiente C nel caso di ULA per i dipendenti con disabilità pari a zero e valore del coefficiente C pari ad 1 nel caso di ULA per i dipendenti con disabilità pari a valore massimo.</w:t>
            </w:r>
            <w:r>
              <w:rPr>
                <w:rFonts w:cstheme="minorHAnsi"/>
              </w:rPr>
              <w:t xml:space="preserve"> </w:t>
            </w:r>
            <w:r>
              <w:rPr>
                <w:rFonts w:cstheme="minorHAnsi"/>
                <w:sz w:val="20"/>
                <w:szCs w:val="20"/>
              </w:rPr>
              <w:t>Il criterio viene valutato attraverso una distribuzione a gradini declinata dall’Organismo attuatore. Ad esempio C=0 ULA=0; C=0,25 0&lt;ULA</w:t>
            </w:r>
            <w:r>
              <w:rPr>
                <w:rFonts w:cstheme="minorHAnsi"/>
                <w:sz w:val="20"/>
                <w:szCs w:val="20"/>
                <w:u w:val="single"/>
              </w:rPr>
              <w:t>&lt;</w:t>
            </w:r>
            <w:r>
              <w:rPr>
                <w:rFonts w:cstheme="minorHAnsi"/>
                <w:sz w:val="20"/>
                <w:szCs w:val="20"/>
              </w:rPr>
              <w:t>1; C=0,50 1&lt;ULA</w:t>
            </w:r>
            <w:r>
              <w:rPr>
                <w:rFonts w:cstheme="minorHAnsi"/>
                <w:sz w:val="20"/>
                <w:szCs w:val="20"/>
                <w:u w:val="single"/>
              </w:rPr>
              <w:t>&lt;</w:t>
            </w:r>
            <w:r>
              <w:rPr>
                <w:rFonts w:cstheme="minorHAnsi"/>
                <w:sz w:val="20"/>
                <w:szCs w:val="20"/>
              </w:rPr>
              <w:t>2; C=0,75 2&lt;ULA</w:t>
            </w:r>
            <w:r>
              <w:rPr>
                <w:rFonts w:cstheme="minorHAnsi"/>
                <w:sz w:val="20"/>
                <w:szCs w:val="20"/>
                <w:u w:val="single"/>
              </w:rPr>
              <w:t>&lt;</w:t>
            </w:r>
            <w:r>
              <w:rPr>
                <w:rFonts w:cstheme="minorHAnsi"/>
                <w:sz w:val="20"/>
                <w:szCs w:val="20"/>
              </w:rPr>
              <w:t>3; C=1 ULA&gt;3</w:t>
            </w:r>
          </w:p>
        </w:tc>
      </w:tr>
      <w:tr w:rsidR="001813DC" w14:paraId="63B4FB5E" w14:textId="77777777" w:rsidTr="002D301D">
        <w:tc>
          <w:tcPr>
            <w:tcW w:w="846" w:type="dxa"/>
            <w:shd w:val="clear" w:color="auto" w:fill="auto"/>
          </w:tcPr>
          <w:p w14:paraId="6C0D76B4" w14:textId="77777777" w:rsidR="001813DC" w:rsidRDefault="002D301D">
            <w:pPr>
              <w:spacing w:line="276" w:lineRule="auto"/>
              <w:jc w:val="center"/>
            </w:pPr>
            <w:r>
              <w:rPr>
                <w:rFonts w:cstheme="minorHAnsi"/>
                <w:color w:val="000000"/>
                <w:sz w:val="20"/>
                <w:szCs w:val="20"/>
              </w:rPr>
              <w:t>SR5</w:t>
            </w:r>
          </w:p>
        </w:tc>
        <w:tc>
          <w:tcPr>
            <w:tcW w:w="4252" w:type="dxa"/>
            <w:shd w:val="clear" w:color="auto" w:fill="auto"/>
          </w:tcPr>
          <w:p w14:paraId="5B8FDA24" w14:textId="77777777" w:rsidR="001813DC" w:rsidRDefault="002D301D">
            <w:pPr>
              <w:spacing w:line="276" w:lineRule="auto"/>
              <w:jc w:val="both"/>
            </w:pPr>
            <w:r>
              <w:rPr>
                <w:rFonts w:cstheme="minorHAnsi"/>
                <w:sz w:val="20"/>
                <w:szCs w:val="20"/>
              </w:rPr>
              <w:t xml:space="preserve">Numero di soggetti partecipanti all’iniziativa in partenariato </w:t>
            </w:r>
          </w:p>
        </w:tc>
        <w:tc>
          <w:tcPr>
            <w:tcW w:w="4530" w:type="dxa"/>
            <w:shd w:val="clear" w:color="auto" w:fill="auto"/>
          </w:tcPr>
          <w:p w14:paraId="38B06F92" w14:textId="77777777" w:rsidR="001813DC" w:rsidRDefault="002D301D">
            <w:pPr>
              <w:spacing w:line="276" w:lineRule="auto"/>
              <w:jc w:val="both"/>
            </w:pPr>
            <w:r>
              <w:rPr>
                <w:rFonts w:cstheme="minorHAnsi"/>
                <w:sz w:val="20"/>
                <w:szCs w:val="20"/>
              </w:rPr>
              <w:t>Il criterio viene valutato attraverso una distribuzione a gradini declinata dall’Organismo attuatore. Ad esempio C=0 R5=1; C=0,25 1&lt;R5</w:t>
            </w:r>
            <w:r>
              <w:rPr>
                <w:rFonts w:cstheme="minorHAnsi"/>
                <w:sz w:val="20"/>
                <w:szCs w:val="20"/>
                <w:u w:val="single"/>
              </w:rPr>
              <w:t>&lt;</w:t>
            </w:r>
            <w:r>
              <w:rPr>
                <w:rFonts w:cstheme="minorHAnsi"/>
                <w:sz w:val="20"/>
                <w:szCs w:val="20"/>
              </w:rPr>
              <w:t>2; C=0,50 2&lt;R5</w:t>
            </w:r>
            <w:r>
              <w:rPr>
                <w:rFonts w:cstheme="minorHAnsi"/>
                <w:sz w:val="20"/>
                <w:szCs w:val="20"/>
                <w:u w:val="single"/>
              </w:rPr>
              <w:t>&lt;</w:t>
            </w:r>
            <w:r>
              <w:rPr>
                <w:rFonts w:cstheme="minorHAnsi"/>
                <w:sz w:val="20"/>
                <w:szCs w:val="20"/>
              </w:rPr>
              <w:t>3; C=0,75 3&lt;R5</w:t>
            </w:r>
            <w:r>
              <w:rPr>
                <w:rFonts w:cstheme="minorHAnsi"/>
                <w:sz w:val="20"/>
                <w:szCs w:val="20"/>
                <w:u w:val="single"/>
              </w:rPr>
              <w:t>&lt;</w:t>
            </w:r>
            <w:r>
              <w:rPr>
                <w:rFonts w:cstheme="minorHAnsi"/>
                <w:sz w:val="20"/>
                <w:szCs w:val="20"/>
              </w:rPr>
              <w:t>4; C=1 R5&gt;4</w:t>
            </w:r>
          </w:p>
        </w:tc>
      </w:tr>
      <w:tr w:rsidR="001813DC" w14:paraId="242A648B" w14:textId="77777777" w:rsidTr="0067599D">
        <w:tc>
          <w:tcPr>
            <w:tcW w:w="9628" w:type="dxa"/>
            <w:gridSpan w:val="3"/>
            <w:shd w:val="clear" w:color="auto" w:fill="EDEDED" w:themeFill="accent3" w:themeFillTint="33"/>
          </w:tcPr>
          <w:p w14:paraId="311C425B" w14:textId="77777777" w:rsidR="001813DC" w:rsidRDefault="002D301D">
            <w:pPr>
              <w:spacing w:line="276" w:lineRule="auto"/>
              <w:jc w:val="both"/>
            </w:pPr>
            <w:r>
              <w:rPr>
                <w:rFonts w:cstheme="minorHAnsi"/>
                <w:b/>
                <w:bCs/>
                <w:i/>
                <w:iCs/>
                <w:color w:val="000000"/>
                <w:sz w:val="20"/>
                <w:szCs w:val="20"/>
              </w:rPr>
              <w:t>CRITERI QUALITATIVI DELLA PROPOSTA PROGETTUALE</w:t>
            </w:r>
          </w:p>
        </w:tc>
      </w:tr>
      <w:tr w:rsidR="001813DC" w14:paraId="44A7CD11" w14:textId="77777777" w:rsidTr="002D301D">
        <w:tc>
          <w:tcPr>
            <w:tcW w:w="846" w:type="dxa"/>
            <w:shd w:val="clear" w:color="auto" w:fill="auto"/>
          </w:tcPr>
          <w:p w14:paraId="095FE6EA" w14:textId="77777777" w:rsidR="001813DC" w:rsidRDefault="002D301D">
            <w:pPr>
              <w:spacing w:line="276" w:lineRule="auto"/>
              <w:jc w:val="center"/>
            </w:pPr>
            <w:r>
              <w:rPr>
                <w:rFonts w:cstheme="minorHAnsi"/>
                <w:color w:val="000000"/>
                <w:sz w:val="20"/>
                <w:szCs w:val="20"/>
              </w:rPr>
              <w:t>Q1</w:t>
            </w:r>
          </w:p>
        </w:tc>
        <w:tc>
          <w:tcPr>
            <w:tcW w:w="4252" w:type="dxa"/>
            <w:shd w:val="clear" w:color="auto" w:fill="auto"/>
          </w:tcPr>
          <w:p w14:paraId="3F2A5E3F" w14:textId="77777777" w:rsidR="001813DC" w:rsidRDefault="002D301D">
            <w:pPr>
              <w:spacing w:line="276" w:lineRule="auto"/>
              <w:jc w:val="both"/>
            </w:pPr>
            <w:r>
              <w:rPr>
                <w:rFonts w:cs="Arial"/>
                <w:iCs/>
                <w:sz w:val="20"/>
                <w:szCs w:val="20"/>
              </w:rPr>
              <w:t xml:space="preserve">Coerenza con gli obiettivi dell’azione   </w:t>
            </w:r>
          </w:p>
        </w:tc>
        <w:tc>
          <w:tcPr>
            <w:tcW w:w="4530" w:type="dxa"/>
            <w:shd w:val="clear" w:color="auto" w:fill="auto"/>
          </w:tcPr>
          <w:p w14:paraId="576E7C6A" w14:textId="77777777" w:rsidR="001813DC" w:rsidRDefault="002D301D">
            <w:pPr>
              <w:spacing w:line="276" w:lineRule="auto"/>
              <w:jc w:val="both"/>
            </w:pPr>
            <w:r>
              <w:rPr>
                <w:sz w:val="20"/>
                <w:szCs w:val="20"/>
              </w:rPr>
              <w:t xml:space="preserve">Il livello di coerenza è valutato in: alto quando il progetto è coerente e pienamente rispondente alla </w:t>
            </w:r>
            <w:r>
              <w:rPr>
                <w:sz w:val="20"/>
                <w:szCs w:val="20"/>
              </w:rPr>
              <w:t>necessità di rendere competitivo, resiliente e sostenibile il settore medio quando non è del tutto rispondente alle, esigenze del settore e basso quando centra parzialmente l’obiettivo dell’azione.</w:t>
            </w:r>
          </w:p>
        </w:tc>
      </w:tr>
      <w:tr w:rsidR="001813DC" w14:paraId="601FAEAE" w14:textId="77777777" w:rsidTr="002D301D">
        <w:tc>
          <w:tcPr>
            <w:tcW w:w="846" w:type="dxa"/>
            <w:shd w:val="clear" w:color="auto" w:fill="auto"/>
          </w:tcPr>
          <w:p w14:paraId="7472E7DA" w14:textId="77777777" w:rsidR="001813DC" w:rsidRDefault="002D301D">
            <w:pPr>
              <w:spacing w:line="276" w:lineRule="auto"/>
              <w:jc w:val="center"/>
            </w:pPr>
            <w:r>
              <w:rPr>
                <w:rFonts w:cstheme="minorHAnsi"/>
                <w:color w:val="000000"/>
                <w:sz w:val="20"/>
                <w:szCs w:val="20"/>
              </w:rPr>
              <w:t>Q2</w:t>
            </w:r>
          </w:p>
        </w:tc>
        <w:tc>
          <w:tcPr>
            <w:tcW w:w="4252" w:type="dxa"/>
            <w:shd w:val="clear" w:color="auto" w:fill="auto"/>
          </w:tcPr>
          <w:p w14:paraId="77359EDD" w14:textId="77777777" w:rsidR="001813DC" w:rsidRDefault="002D301D">
            <w:pPr>
              <w:spacing w:line="276" w:lineRule="auto"/>
              <w:jc w:val="both"/>
            </w:pPr>
            <w:r>
              <w:rPr>
                <w:rFonts w:cstheme="minorHAnsi"/>
                <w:iCs/>
                <w:sz w:val="20"/>
                <w:szCs w:val="20"/>
              </w:rPr>
              <w:t xml:space="preserve">Livello di innovazione tecnologica mediante la valutazione del costo degli investimenti </w:t>
            </w:r>
            <w:r>
              <w:rPr>
                <w:rFonts w:cstheme="minorHAnsi"/>
                <w:i/>
                <w:sz w:val="20"/>
                <w:szCs w:val="20"/>
              </w:rPr>
              <w:t>green</w:t>
            </w:r>
            <w:r>
              <w:rPr>
                <w:rFonts w:cstheme="minorHAnsi"/>
                <w:iCs/>
                <w:sz w:val="20"/>
                <w:szCs w:val="20"/>
              </w:rPr>
              <w:t xml:space="preserve"> o per la resilienza</w:t>
            </w:r>
          </w:p>
        </w:tc>
        <w:tc>
          <w:tcPr>
            <w:tcW w:w="4530" w:type="dxa"/>
            <w:shd w:val="clear" w:color="auto" w:fill="auto"/>
          </w:tcPr>
          <w:p w14:paraId="5F1C6A1C" w14:textId="77777777" w:rsidR="001813DC" w:rsidRDefault="002D301D">
            <w:pPr>
              <w:spacing w:line="276" w:lineRule="auto"/>
              <w:jc w:val="both"/>
            </w:pPr>
            <w:r>
              <w:rPr>
                <w:rFonts w:cstheme="minorHAnsi"/>
                <w:sz w:val="20"/>
                <w:szCs w:val="20"/>
              </w:rPr>
              <w:t xml:space="preserve">Il criterio mira a misurare il livello di innovazione tecnologica green o per la resilienza della proposta. Il coefficiente C è dato dal rapporto tra la spesa prevista per gli investimenti green o per la resilienza sul costo totale del progetto </w:t>
            </w:r>
          </w:p>
        </w:tc>
      </w:tr>
      <w:tr w:rsidR="001813DC" w14:paraId="20094108" w14:textId="77777777" w:rsidTr="002D301D">
        <w:tc>
          <w:tcPr>
            <w:tcW w:w="846" w:type="dxa"/>
            <w:shd w:val="clear" w:color="auto" w:fill="auto"/>
          </w:tcPr>
          <w:p w14:paraId="3A7D2260" w14:textId="77777777" w:rsidR="001813DC" w:rsidRDefault="002D301D">
            <w:pPr>
              <w:spacing w:line="276" w:lineRule="auto"/>
              <w:jc w:val="center"/>
            </w:pPr>
            <w:r>
              <w:rPr>
                <w:rFonts w:cstheme="minorHAnsi"/>
                <w:color w:val="000000"/>
                <w:sz w:val="20"/>
                <w:szCs w:val="20"/>
              </w:rPr>
              <w:t>Q3</w:t>
            </w:r>
          </w:p>
        </w:tc>
        <w:tc>
          <w:tcPr>
            <w:tcW w:w="4252" w:type="dxa"/>
            <w:shd w:val="clear" w:color="auto" w:fill="auto"/>
          </w:tcPr>
          <w:p w14:paraId="6D9C9C8E" w14:textId="77777777" w:rsidR="001813DC" w:rsidRDefault="002D301D">
            <w:pPr>
              <w:spacing w:line="276" w:lineRule="auto"/>
              <w:jc w:val="both"/>
            </w:pPr>
            <w:r>
              <w:rPr>
                <w:rFonts w:cstheme="minorHAnsi"/>
                <w:iCs/>
                <w:sz w:val="20"/>
                <w:szCs w:val="20"/>
              </w:rPr>
              <w:t xml:space="preserve">Numero di nuovi posti di lavoro previsti per le donne (PD)/numero di nuovi posti di lavoro (PT) </w:t>
            </w:r>
          </w:p>
        </w:tc>
        <w:tc>
          <w:tcPr>
            <w:tcW w:w="4530" w:type="dxa"/>
            <w:shd w:val="clear" w:color="auto" w:fill="auto"/>
          </w:tcPr>
          <w:p w14:paraId="2C2EF211" w14:textId="77777777" w:rsidR="001813DC" w:rsidRDefault="002D301D">
            <w:pPr>
              <w:spacing w:line="276" w:lineRule="auto"/>
              <w:jc w:val="both"/>
            </w:pPr>
            <w:r>
              <w:rPr>
                <w:rFonts w:cstheme="minorHAnsi"/>
                <w:sz w:val="20"/>
                <w:szCs w:val="20"/>
              </w:rPr>
              <w:t>I posti di lavoro sono computati mediante l’utilizzo delle ULA e si riferiscono ai posti di lavoro creati a seguito della realizzazione dell’operazione</w:t>
            </w:r>
          </w:p>
        </w:tc>
      </w:tr>
      <w:tr w:rsidR="001813DC" w14:paraId="3BF7FC2A" w14:textId="77777777" w:rsidTr="002D301D">
        <w:tc>
          <w:tcPr>
            <w:tcW w:w="846" w:type="dxa"/>
            <w:shd w:val="clear" w:color="auto" w:fill="auto"/>
          </w:tcPr>
          <w:p w14:paraId="1E1094FE" w14:textId="77777777" w:rsidR="001813DC" w:rsidRDefault="002D301D">
            <w:pPr>
              <w:spacing w:line="276" w:lineRule="auto"/>
              <w:jc w:val="center"/>
            </w:pPr>
            <w:r>
              <w:rPr>
                <w:rFonts w:cstheme="minorHAnsi"/>
                <w:color w:val="000000"/>
                <w:sz w:val="20"/>
                <w:szCs w:val="20"/>
              </w:rPr>
              <w:t>Q4</w:t>
            </w:r>
          </w:p>
        </w:tc>
        <w:tc>
          <w:tcPr>
            <w:tcW w:w="4252" w:type="dxa"/>
            <w:shd w:val="clear" w:color="auto" w:fill="auto"/>
          </w:tcPr>
          <w:p w14:paraId="7D3099E1" w14:textId="77777777" w:rsidR="001813DC" w:rsidRDefault="002D301D">
            <w:pPr>
              <w:spacing w:line="276" w:lineRule="auto"/>
              <w:jc w:val="both"/>
            </w:pPr>
            <w:r>
              <w:rPr>
                <w:rFonts w:cstheme="minorHAnsi"/>
                <w:iCs/>
                <w:sz w:val="20"/>
                <w:szCs w:val="20"/>
              </w:rPr>
              <w:t xml:space="preserve">Numero di nuovi posti di lavoro previsti per i giovani (PG)/numero di nuovi posti di lavoro (PT) </w:t>
            </w:r>
          </w:p>
        </w:tc>
        <w:tc>
          <w:tcPr>
            <w:tcW w:w="4530" w:type="dxa"/>
            <w:shd w:val="clear" w:color="auto" w:fill="auto"/>
          </w:tcPr>
          <w:p w14:paraId="4C8C4320" w14:textId="77777777" w:rsidR="001813DC" w:rsidRDefault="002D301D">
            <w:pPr>
              <w:spacing w:line="276" w:lineRule="auto"/>
              <w:jc w:val="both"/>
            </w:pPr>
            <w:r>
              <w:rPr>
                <w:rFonts w:cstheme="minorHAnsi"/>
                <w:sz w:val="20"/>
                <w:szCs w:val="20"/>
              </w:rPr>
              <w:t>I posti di lavoro sono computati mediante l’utilizzo delle ULA e si riferiscono ai posti di lavoro creati a seguito della realizzazione dell’operazione</w:t>
            </w:r>
          </w:p>
        </w:tc>
      </w:tr>
      <w:tr w:rsidR="001813DC" w14:paraId="3439EF60" w14:textId="77777777" w:rsidTr="002D301D">
        <w:tc>
          <w:tcPr>
            <w:tcW w:w="846" w:type="dxa"/>
            <w:shd w:val="clear" w:color="auto" w:fill="auto"/>
          </w:tcPr>
          <w:p w14:paraId="3391B36C" w14:textId="77777777" w:rsidR="001813DC" w:rsidRDefault="002D301D">
            <w:pPr>
              <w:spacing w:line="276" w:lineRule="auto"/>
              <w:jc w:val="center"/>
            </w:pPr>
            <w:r>
              <w:rPr>
                <w:rFonts w:cstheme="minorHAnsi"/>
                <w:color w:val="000000"/>
                <w:sz w:val="20"/>
                <w:szCs w:val="20"/>
              </w:rPr>
              <w:t>Q5</w:t>
            </w:r>
          </w:p>
        </w:tc>
        <w:tc>
          <w:tcPr>
            <w:tcW w:w="4252" w:type="dxa"/>
            <w:shd w:val="clear" w:color="auto" w:fill="auto"/>
          </w:tcPr>
          <w:p w14:paraId="779CF9BE" w14:textId="77777777" w:rsidR="001813DC" w:rsidRDefault="002D301D">
            <w:pPr>
              <w:spacing w:line="276" w:lineRule="auto"/>
              <w:jc w:val="both"/>
            </w:pPr>
            <w:r>
              <w:rPr>
                <w:rFonts w:cstheme="minorHAnsi"/>
                <w:iCs/>
                <w:sz w:val="20"/>
                <w:szCs w:val="20"/>
              </w:rPr>
              <w:t xml:space="preserve">L’iniziativa prevede azioni specifiche ovvero soluzioni innovative per l’inclusione sociale </w:t>
            </w:r>
          </w:p>
        </w:tc>
        <w:tc>
          <w:tcPr>
            <w:tcW w:w="4530" w:type="dxa"/>
            <w:shd w:val="clear" w:color="auto" w:fill="auto"/>
          </w:tcPr>
          <w:p w14:paraId="5C25E11D" w14:textId="77777777" w:rsidR="001813DC" w:rsidRDefault="002D301D">
            <w:pPr>
              <w:spacing w:line="276" w:lineRule="auto"/>
              <w:jc w:val="both"/>
            </w:pPr>
            <w:r>
              <w:rPr>
                <w:rFonts w:cstheme="minorHAnsi"/>
                <w:sz w:val="20"/>
                <w:szCs w:val="20"/>
              </w:rPr>
              <w:t xml:space="preserve">Il criterio mira a favorire operazioni che tendono ad innovare la propria organizzazione lavorativa e le </w:t>
            </w:r>
            <w:r>
              <w:rPr>
                <w:rFonts w:cstheme="minorHAnsi"/>
                <w:sz w:val="20"/>
                <w:szCs w:val="20"/>
              </w:rPr>
              <w:t>strutture per favorire l’inclusione sociale, quale ad esempio quelle legate al rafforzamento delle competenze digitali (</w:t>
            </w:r>
            <w:r>
              <w:rPr>
                <w:rFonts w:cstheme="minorHAnsi"/>
                <w:i/>
                <w:iCs/>
                <w:sz w:val="20"/>
                <w:szCs w:val="20"/>
              </w:rPr>
              <w:t>smart working skills</w:t>
            </w:r>
            <w:r>
              <w:rPr>
                <w:rFonts w:cstheme="minorHAnsi"/>
                <w:sz w:val="20"/>
                <w:szCs w:val="20"/>
              </w:rPr>
              <w:t xml:space="preserve">) </w:t>
            </w:r>
          </w:p>
        </w:tc>
      </w:tr>
      <w:tr w:rsidR="001813DC" w14:paraId="2EF05C13" w14:textId="77777777" w:rsidTr="002D301D">
        <w:tc>
          <w:tcPr>
            <w:tcW w:w="846" w:type="dxa"/>
            <w:shd w:val="clear" w:color="auto" w:fill="auto"/>
          </w:tcPr>
          <w:p w14:paraId="2DA1078C" w14:textId="77777777" w:rsidR="001813DC" w:rsidRDefault="002D301D">
            <w:pPr>
              <w:spacing w:line="276" w:lineRule="auto"/>
              <w:jc w:val="center"/>
            </w:pPr>
            <w:r>
              <w:rPr>
                <w:rFonts w:cstheme="minorHAnsi"/>
                <w:color w:val="000000"/>
                <w:sz w:val="20"/>
                <w:szCs w:val="20"/>
              </w:rPr>
              <w:t>Q6</w:t>
            </w:r>
          </w:p>
        </w:tc>
        <w:tc>
          <w:tcPr>
            <w:tcW w:w="4252" w:type="dxa"/>
            <w:shd w:val="clear" w:color="auto" w:fill="auto"/>
          </w:tcPr>
          <w:p w14:paraId="15AB5F40" w14:textId="77777777" w:rsidR="001813DC" w:rsidRDefault="002D301D">
            <w:pPr>
              <w:spacing w:line="276" w:lineRule="auto"/>
              <w:jc w:val="both"/>
            </w:pPr>
            <w:r>
              <w:rPr>
                <w:rFonts w:cstheme="minorHAnsi"/>
                <w:iCs/>
                <w:sz w:val="20"/>
                <w:szCs w:val="20"/>
              </w:rPr>
              <w:t xml:space="preserve">L’iniziativa prevede azioni di informazione e comunicazione </w:t>
            </w:r>
          </w:p>
        </w:tc>
        <w:tc>
          <w:tcPr>
            <w:tcW w:w="4530" w:type="dxa"/>
            <w:shd w:val="clear" w:color="auto" w:fill="auto"/>
          </w:tcPr>
          <w:p w14:paraId="6A71E879" w14:textId="77777777" w:rsidR="001813DC" w:rsidRDefault="002D301D">
            <w:pPr>
              <w:spacing w:line="276" w:lineRule="auto"/>
              <w:jc w:val="both"/>
            </w:pPr>
            <w:r>
              <w:rPr>
                <w:rFonts w:cstheme="minorHAnsi"/>
                <w:sz w:val="20"/>
                <w:szCs w:val="20"/>
              </w:rPr>
              <w:t>Il beneficiario, per l’ottenimento del valore del coefficiente pari ad 1, deve attuare iniziative di comunicazione ed informazione sulle attività progettuali ed i risultati ottenuti e presentare un adeguato Piano di Comunicazione</w:t>
            </w:r>
          </w:p>
        </w:tc>
      </w:tr>
      <w:tr w:rsidR="001813DC" w14:paraId="00D34FCE" w14:textId="77777777" w:rsidTr="002D301D">
        <w:tc>
          <w:tcPr>
            <w:tcW w:w="846" w:type="dxa"/>
            <w:shd w:val="clear" w:color="auto" w:fill="auto"/>
          </w:tcPr>
          <w:p w14:paraId="560910E1" w14:textId="77777777" w:rsidR="001813DC" w:rsidRDefault="002D301D">
            <w:pPr>
              <w:spacing w:line="276" w:lineRule="auto"/>
              <w:jc w:val="center"/>
            </w:pPr>
            <w:r>
              <w:rPr>
                <w:rFonts w:cstheme="minorHAnsi"/>
                <w:color w:val="000000"/>
                <w:sz w:val="20"/>
                <w:szCs w:val="20"/>
              </w:rPr>
              <w:t>Q7</w:t>
            </w:r>
          </w:p>
        </w:tc>
        <w:tc>
          <w:tcPr>
            <w:tcW w:w="4252" w:type="dxa"/>
            <w:shd w:val="clear" w:color="auto" w:fill="auto"/>
          </w:tcPr>
          <w:p w14:paraId="34D9689F" w14:textId="77777777" w:rsidR="001813DC" w:rsidRDefault="002D301D">
            <w:pPr>
              <w:spacing w:line="276" w:lineRule="auto"/>
              <w:jc w:val="both"/>
            </w:pPr>
            <w:r>
              <w:rPr>
                <w:rFonts w:cs="Arial"/>
                <w:iCs/>
                <w:sz w:val="20"/>
                <w:szCs w:val="20"/>
              </w:rPr>
              <w:t>L’iniziativa capitalizza attività già realizzate cofinanziate dal FEAMP o da altri Fondi/Programmi UE o nazionali quali ad esempio Interreg, LIFE, Horizon (Q7)</w:t>
            </w:r>
          </w:p>
        </w:tc>
        <w:tc>
          <w:tcPr>
            <w:tcW w:w="4530" w:type="dxa"/>
            <w:shd w:val="clear" w:color="auto" w:fill="auto"/>
            <w:vAlign w:val="center"/>
          </w:tcPr>
          <w:p w14:paraId="138F7049" w14:textId="77777777" w:rsidR="001813DC" w:rsidRDefault="002D301D">
            <w:pPr>
              <w:spacing w:line="276" w:lineRule="auto"/>
              <w:jc w:val="both"/>
            </w:pPr>
            <w:r>
              <w:rPr>
                <w:rFonts w:cstheme="minorHAnsi"/>
                <w:sz w:val="20"/>
                <w:szCs w:val="20"/>
              </w:rPr>
              <w:t xml:space="preserve">Il beneficiario, per l’ottenimento del valore del coefficiente pari ad 1, deve realizzare un’operazione che valorizza, diffonde, riusa, trasferisce risultati/output di un’altra operazione finanziata dal FEAMP </w:t>
            </w:r>
            <w:r>
              <w:rPr>
                <w:rFonts w:cstheme="minorHAnsi"/>
                <w:color w:val="000000"/>
                <w:sz w:val="20"/>
                <w:szCs w:val="20"/>
              </w:rPr>
              <w:t xml:space="preserve">o da altri Fondi/Programmi UE o nazionali </w:t>
            </w:r>
            <w:r>
              <w:rPr>
                <w:rFonts w:cs="Arial"/>
                <w:iCs/>
                <w:sz w:val="20"/>
                <w:szCs w:val="20"/>
              </w:rPr>
              <w:t>quali ad esempio Interreg, Life, Horizon</w:t>
            </w:r>
          </w:p>
        </w:tc>
      </w:tr>
      <w:tr w:rsidR="001813DC" w14:paraId="49902A6E" w14:textId="77777777" w:rsidTr="002D301D">
        <w:tc>
          <w:tcPr>
            <w:tcW w:w="846" w:type="dxa"/>
            <w:shd w:val="clear" w:color="auto" w:fill="auto"/>
          </w:tcPr>
          <w:p w14:paraId="45A9368D" w14:textId="77777777" w:rsidR="001813DC" w:rsidRDefault="002D301D">
            <w:pPr>
              <w:spacing w:line="276" w:lineRule="auto"/>
              <w:jc w:val="center"/>
            </w:pPr>
            <w:r>
              <w:rPr>
                <w:rFonts w:cstheme="minorHAnsi"/>
                <w:color w:val="000000"/>
                <w:sz w:val="20"/>
                <w:szCs w:val="20"/>
              </w:rPr>
              <w:t>Q8</w:t>
            </w:r>
          </w:p>
        </w:tc>
        <w:tc>
          <w:tcPr>
            <w:tcW w:w="4252" w:type="dxa"/>
            <w:shd w:val="clear" w:color="auto" w:fill="auto"/>
          </w:tcPr>
          <w:p w14:paraId="079E9937" w14:textId="77777777" w:rsidR="001813DC" w:rsidRDefault="002D301D">
            <w:pPr>
              <w:spacing w:line="276" w:lineRule="auto"/>
              <w:jc w:val="both"/>
            </w:pPr>
            <w:r>
              <w:rPr>
                <w:rFonts w:cstheme="minorHAnsi"/>
                <w:iCs/>
                <w:sz w:val="20"/>
                <w:szCs w:val="20"/>
              </w:rPr>
              <w:t xml:space="preserve">L’iniziativa ricade in uno dei Comuni individuati nella SNAI ovvero riguarda iniziative coerenti con la SNAI </w:t>
            </w:r>
          </w:p>
        </w:tc>
        <w:tc>
          <w:tcPr>
            <w:tcW w:w="4530" w:type="dxa"/>
            <w:shd w:val="clear" w:color="auto" w:fill="auto"/>
          </w:tcPr>
          <w:p w14:paraId="6A6897B0" w14:textId="77777777" w:rsidR="001813DC" w:rsidRDefault="002D301D">
            <w:pPr>
              <w:spacing w:line="276" w:lineRule="auto"/>
              <w:jc w:val="both"/>
            </w:pPr>
            <w:r>
              <w:rPr>
                <w:rFonts w:cstheme="minorHAnsi"/>
                <w:sz w:val="20"/>
                <w:szCs w:val="20"/>
              </w:rPr>
              <w:t>Per l’ottenimento del valore del coefficiente C pari ad 1 l’intervento deve riguardare iniziative relative alla Strategia Nazionale per le Aree Interne (es investimenti in uno dei comuni della SNAI ovvero attività che riguardano la SNAI).</w:t>
            </w:r>
          </w:p>
        </w:tc>
      </w:tr>
      <w:tr w:rsidR="001813DC" w14:paraId="474477CD" w14:textId="77777777" w:rsidTr="002D301D">
        <w:tc>
          <w:tcPr>
            <w:tcW w:w="846" w:type="dxa"/>
            <w:shd w:val="clear" w:color="auto" w:fill="auto"/>
          </w:tcPr>
          <w:p w14:paraId="3AB8A297" w14:textId="77777777" w:rsidR="001813DC" w:rsidRDefault="002D301D">
            <w:pPr>
              <w:spacing w:line="276" w:lineRule="auto"/>
              <w:jc w:val="center"/>
            </w:pPr>
            <w:r>
              <w:rPr>
                <w:rFonts w:cstheme="minorHAnsi"/>
                <w:color w:val="000000"/>
                <w:sz w:val="20"/>
                <w:szCs w:val="20"/>
              </w:rPr>
              <w:t>Q9</w:t>
            </w:r>
          </w:p>
        </w:tc>
        <w:tc>
          <w:tcPr>
            <w:tcW w:w="4252" w:type="dxa"/>
            <w:shd w:val="clear" w:color="auto" w:fill="auto"/>
          </w:tcPr>
          <w:p w14:paraId="58425285" w14:textId="77777777" w:rsidR="001813DC" w:rsidRDefault="002D301D">
            <w:pPr>
              <w:spacing w:line="276" w:lineRule="auto"/>
              <w:jc w:val="both"/>
            </w:pPr>
            <w:r>
              <w:rPr>
                <w:rFonts w:cstheme="minorHAnsi"/>
                <w:color w:val="000000"/>
                <w:sz w:val="20"/>
                <w:szCs w:val="20"/>
              </w:rPr>
              <w:t>L’intervento prevede azioni complementari e/o sinergiche a quelle finanziate con altri Fondi dell’Unione Europea/nazionali o Strategie macroregionali</w:t>
            </w:r>
          </w:p>
        </w:tc>
        <w:tc>
          <w:tcPr>
            <w:tcW w:w="4530" w:type="dxa"/>
            <w:shd w:val="clear" w:color="auto" w:fill="auto"/>
          </w:tcPr>
          <w:p w14:paraId="0364A617" w14:textId="77777777" w:rsidR="001813DC" w:rsidRDefault="002D301D">
            <w:pPr>
              <w:spacing w:line="276" w:lineRule="auto"/>
              <w:jc w:val="both"/>
            </w:pPr>
            <w:r>
              <w:rPr>
                <w:rFonts w:cstheme="minorHAnsi"/>
                <w:sz w:val="20"/>
                <w:szCs w:val="20"/>
              </w:rPr>
              <w:t xml:space="preserve">Il beneficiario, per l’ottenimento del valore del coefficiente pari ad 1, deve realizzare un’operazione complementare ovvero sinergica ad almeno un’altra finanziata </w:t>
            </w:r>
            <w:r>
              <w:rPr>
                <w:rFonts w:cstheme="minorHAnsi"/>
                <w:color w:val="000000"/>
                <w:sz w:val="20"/>
                <w:szCs w:val="20"/>
              </w:rPr>
              <w:t xml:space="preserve">con altri Fondi dell’Unione Europea o nazionali o che contribuisce all’implementazione delle Strategie macroregionali e di bacino marittimo </w:t>
            </w:r>
          </w:p>
        </w:tc>
      </w:tr>
      <w:tr w:rsidR="001813DC" w14:paraId="3D96AC51" w14:textId="77777777" w:rsidTr="0067599D">
        <w:tc>
          <w:tcPr>
            <w:tcW w:w="9628" w:type="dxa"/>
            <w:gridSpan w:val="3"/>
            <w:shd w:val="clear" w:color="auto" w:fill="EDEDED" w:themeFill="accent3" w:themeFillTint="33"/>
          </w:tcPr>
          <w:p w14:paraId="28B4DD33" w14:textId="77777777" w:rsidR="001813DC" w:rsidRDefault="002D301D">
            <w:pPr>
              <w:spacing w:line="276" w:lineRule="auto"/>
              <w:jc w:val="both"/>
            </w:pPr>
            <w:r>
              <w:rPr>
                <w:rFonts w:cstheme="minorHAnsi"/>
                <w:b/>
                <w:bCs/>
                <w:i/>
                <w:iCs/>
                <w:color w:val="000000"/>
                <w:sz w:val="20"/>
                <w:szCs w:val="20"/>
              </w:rPr>
              <w:t>CRITERI SPECIFICI DELLE OPERAZIONI ATTIVATE</w:t>
            </w:r>
          </w:p>
        </w:tc>
      </w:tr>
      <w:tr w:rsidR="001813DC" w14:paraId="2494303C" w14:textId="77777777" w:rsidTr="002D301D">
        <w:tc>
          <w:tcPr>
            <w:tcW w:w="846" w:type="dxa"/>
            <w:shd w:val="clear" w:color="auto" w:fill="auto"/>
          </w:tcPr>
          <w:p w14:paraId="585D8181" w14:textId="77777777" w:rsidR="001813DC" w:rsidRDefault="002D301D">
            <w:pPr>
              <w:spacing w:line="276" w:lineRule="auto"/>
              <w:jc w:val="center"/>
            </w:pPr>
            <w:r>
              <w:rPr>
                <w:rFonts w:cstheme="minorHAnsi"/>
                <w:color w:val="000000"/>
                <w:sz w:val="20"/>
                <w:szCs w:val="20"/>
              </w:rPr>
              <w:t>SO1</w:t>
            </w:r>
          </w:p>
        </w:tc>
        <w:tc>
          <w:tcPr>
            <w:tcW w:w="4252" w:type="dxa"/>
            <w:shd w:val="clear" w:color="auto" w:fill="auto"/>
          </w:tcPr>
          <w:p w14:paraId="163E2927" w14:textId="77777777" w:rsidR="001813DC" w:rsidRDefault="002D301D">
            <w:pPr>
              <w:spacing w:line="276" w:lineRule="auto"/>
              <w:jc w:val="both"/>
            </w:pPr>
            <w:r>
              <w:rPr>
                <w:rFonts w:cstheme="minorHAnsi"/>
                <w:iCs/>
                <w:sz w:val="20"/>
                <w:szCs w:val="20"/>
              </w:rPr>
              <w:t xml:space="preserve">Numero di operazioni attivate </w:t>
            </w:r>
          </w:p>
        </w:tc>
        <w:tc>
          <w:tcPr>
            <w:tcW w:w="4530" w:type="dxa"/>
            <w:shd w:val="clear" w:color="auto" w:fill="auto"/>
          </w:tcPr>
          <w:p w14:paraId="69BD773C" w14:textId="77777777" w:rsidR="001813DC" w:rsidRDefault="002D301D">
            <w:pPr>
              <w:spacing w:line="276" w:lineRule="auto"/>
              <w:jc w:val="both"/>
            </w:pPr>
            <w:r>
              <w:rPr>
                <w:rFonts w:cstheme="minorHAnsi"/>
                <w:sz w:val="20"/>
                <w:szCs w:val="20"/>
              </w:rPr>
              <w:t xml:space="preserve">L’azione ed il relativo intervento prevede la possibilità di attivare n.3 operazioni: 1, 2, 41 di cui alla tabella 7 </w:t>
            </w:r>
            <w:r>
              <w:rPr>
                <w:rFonts w:cstheme="minorHAnsi"/>
                <w:sz w:val="20"/>
                <w:szCs w:val="20"/>
              </w:rPr>
              <w:t>dell’allegato II del Reg. (UE) n.2022/79. Il criterio potrà essere valutato assegnando un valore del coefficiente C in relazione al numero di operazioni attivate ad es. 1 op, C=0; 2 op C=0.5, 3 op C = 1</w:t>
            </w:r>
            <w:r>
              <w:rPr>
                <w:rFonts w:cstheme="minorHAnsi"/>
              </w:rPr>
              <w:t xml:space="preserve">  </w:t>
            </w:r>
          </w:p>
        </w:tc>
      </w:tr>
      <w:tr w:rsidR="001813DC" w14:paraId="38C36987" w14:textId="77777777" w:rsidTr="002D301D">
        <w:tc>
          <w:tcPr>
            <w:tcW w:w="846" w:type="dxa"/>
            <w:shd w:val="clear" w:color="auto" w:fill="auto"/>
          </w:tcPr>
          <w:p w14:paraId="640B35CD" w14:textId="77777777" w:rsidR="001813DC" w:rsidRDefault="002D301D">
            <w:pPr>
              <w:spacing w:line="276" w:lineRule="auto"/>
              <w:jc w:val="center"/>
            </w:pPr>
            <w:r>
              <w:rPr>
                <w:rFonts w:cstheme="minorHAnsi"/>
                <w:sz w:val="20"/>
                <w:szCs w:val="20"/>
              </w:rPr>
              <w:t>SO2</w:t>
            </w:r>
          </w:p>
        </w:tc>
        <w:tc>
          <w:tcPr>
            <w:tcW w:w="4252" w:type="dxa"/>
            <w:shd w:val="clear" w:color="auto" w:fill="auto"/>
            <w:vAlign w:val="center"/>
          </w:tcPr>
          <w:p w14:paraId="1D1BE8AB" w14:textId="77777777" w:rsidR="001813DC" w:rsidRDefault="002D301D">
            <w:pPr>
              <w:spacing w:line="276" w:lineRule="auto"/>
              <w:jc w:val="both"/>
            </w:pPr>
            <w:r>
              <w:rPr>
                <w:rFonts w:cstheme="minorHAnsi"/>
                <w:sz w:val="20"/>
                <w:szCs w:val="20"/>
              </w:rPr>
              <w:t xml:space="preserve">Costi di investimenti per la </w:t>
            </w:r>
            <w:r>
              <w:rPr>
                <w:rFonts w:cstheme="minorHAnsi"/>
                <w:sz w:val="20"/>
                <w:szCs w:val="20"/>
              </w:rPr>
              <w:t>transizione green attraverso l</w:t>
            </w:r>
            <w:r>
              <w:rPr>
                <w:rFonts w:cstheme="minorHAnsi"/>
              </w:rPr>
              <w:t>’</w:t>
            </w:r>
            <w:r>
              <w:rPr>
                <w:rFonts w:cstheme="minorHAnsi"/>
                <w:sz w:val="20"/>
                <w:szCs w:val="20"/>
              </w:rPr>
              <w:t xml:space="preserve">ammodernamento, l’adeguamento e la ristrutturazione degli impianti per l’aumento dell’efficientamento energetico e la conversione delle imprese verso fonti rinnovabili di energia </w:t>
            </w:r>
          </w:p>
        </w:tc>
        <w:tc>
          <w:tcPr>
            <w:tcW w:w="4530" w:type="dxa"/>
            <w:shd w:val="clear" w:color="auto" w:fill="auto"/>
          </w:tcPr>
          <w:p w14:paraId="52B9B0E0" w14:textId="77777777" w:rsidR="001813DC" w:rsidRDefault="002D301D">
            <w:pPr>
              <w:spacing w:line="276" w:lineRule="auto"/>
              <w:jc w:val="both"/>
            </w:pPr>
            <w:r>
              <w:rPr>
                <w:rFonts w:cstheme="minorHAnsi"/>
                <w:sz w:val="20"/>
                <w:szCs w:val="20"/>
              </w:rPr>
              <w:t>Il criterio è conteggiato mediante il rapporto tra i costi sostenuti per gli investimenti legati alla transizione green e chiaramente connessi all’attività di progetto rispetto al costo totale dell’investimento.</w:t>
            </w:r>
          </w:p>
        </w:tc>
      </w:tr>
      <w:tr w:rsidR="001813DC" w14:paraId="2DE59714" w14:textId="77777777" w:rsidTr="002D301D">
        <w:tc>
          <w:tcPr>
            <w:tcW w:w="846" w:type="dxa"/>
            <w:shd w:val="clear" w:color="auto" w:fill="auto"/>
          </w:tcPr>
          <w:p w14:paraId="3BB425F4" w14:textId="77777777" w:rsidR="001813DC" w:rsidRDefault="002D301D">
            <w:pPr>
              <w:spacing w:line="276" w:lineRule="auto"/>
              <w:jc w:val="center"/>
            </w:pPr>
            <w:r>
              <w:rPr>
                <w:rFonts w:cstheme="minorHAnsi"/>
                <w:sz w:val="20"/>
                <w:szCs w:val="20"/>
              </w:rPr>
              <w:t>SO3</w:t>
            </w:r>
          </w:p>
        </w:tc>
        <w:tc>
          <w:tcPr>
            <w:tcW w:w="4252" w:type="dxa"/>
            <w:shd w:val="clear" w:color="auto" w:fill="auto"/>
            <w:vAlign w:val="center"/>
          </w:tcPr>
          <w:p w14:paraId="0920C72E" w14:textId="77777777" w:rsidR="001813DC" w:rsidRDefault="002D301D">
            <w:pPr>
              <w:spacing w:line="276" w:lineRule="auto"/>
              <w:jc w:val="both"/>
            </w:pPr>
            <w:r>
              <w:rPr>
                <w:rFonts w:cstheme="minorHAnsi"/>
                <w:sz w:val="20"/>
                <w:szCs w:val="20"/>
              </w:rPr>
              <w:t xml:space="preserve">Costi di investimenti per acquisto di macchinari e attrezzature chiaramente connessi all'attività di progetto per l’aumento dell’efficientamento energetico e la conversione delle imprese verso fonti rinnovabili di energia </w:t>
            </w:r>
          </w:p>
        </w:tc>
        <w:tc>
          <w:tcPr>
            <w:tcW w:w="4530" w:type="dxa"/>
            <w:shd w:val="clear" w:color="auto" w:fill="auto"/>
          </w:tcPr>
          <w:p w14:paraId="4985D267" w14:textId="77777777" w:rsidR="001813DC" w:rsidRDefault="002D301D">
            <w:pPr>
              <w:spacing w:line="276" w:lineRule="auto"/>
              <w:jc w:val="both"/>
            </w:pPr>
            <w:r>
              <w:rPr>
                <w:rFonts w:cstheme="minorHAnsi"/>
                <w:sz w:val="20"/>
                <w:szCs w:val="20"/>
              </w:rPr>
              <w:t>Il criterio è conteggiato mediante il rapporto tra i costi sostenuti per gli investimenti in macchinari e attrezzature chiaramente connessi all’attività di progetto rispetto al costo totale dell’investimento.</w:t>
            </w:r>
          </w:p>
        </w:tc>
      </w:tr>
      <w:tr w:rsidR="001813DC" w14:paraId="024BFD7A" w14:textId="77777777" w:rsidTr="002D301D">
        <w:tc>
          <w:tcPr>
            <w:tcW w:w="846" w:type="dxa"/>
            <w:shd w:val="clear" w:color="auto" w:fill="auto"/>
          </w:tcPr>
          <w:p w14:paraId="5BE1B60D" w14:textId="77777777" w:rsidR="001813DC" w:rsidRDefault="002D301D">
            <w:pPr>
              <w:spacing w:line="276" w:lineRule="auto"/>
              <w:jc w:val="center"/>
            </w:pPr>
            <w:r>
              <w:rPr>
                <w:rFonts w:cstheme="minorHAnsi"/>
                <w:sz w:val="20"/>
                <w:szCs w:val="20"/>
              </w:rPr>
              <w:t>SO4</w:t>
            </w:r>
          </w:p>
        </w:tc>
        <w:tc>
          <w:tcPr>
            <w:tcW w:w="4252" w:type="dxa"/>
            <w:shd w:val="clear" w:color="auto" w:fill="auto"/>
          </w:tcPr>
          <w:p w14:paraId="7D11FE1D" w14:textId="77777777" w:rsidR="001813DC" w:rsidRDefault="002D301D">
            <w:pPr>
              <w:spacing w:line="276" w:lineRule="auto"/>
              <w:jc w:val="both"/>
            </w:pPr>
            <w:r>
              <w:rPr>
                <w:rFonts w:cstheme="minorHAnsi"/>
                <w:sz w:val="20"/>
                <w:szCs w:val="20"/>
              </w:rPr>
              <w:t>Quantità di energia prodotta con fonti rinnovabili previsti a seguito della realizzazione dell’iniziativa</w:t>
            </w:r>
          </w:p>
        </w:tc>
        <w:tc>
          <w:tcPr>
            <w:tcW w:w="4530" w:type="dxa"/>
            <w:shd w:val="clear" w:color="auto" w:fill="auto"/>
          </w:tcPr>
          <w:p w14:paraId="364EA63B" w14:textId="77777777" w:rsidR="001813DC" w:rsidRDefault="002D301D">
            <w:pPr>
              <w:spacing w:line="276" w:lineRule="auto"/>
              <w:jc w:val="both"/>
            </w:pPr>
            <w:r>
              <w:rPr>
                <w:rFonts w:cstheme="minorHAnsi"/>
                <w:sz w:val="20"/>
                <w:szCs w:val="20"/>
              </w:rPr>
              <w:t xml:space="preserve">Il criterio è misurato calcolando il valore del </w:t>
            </w:r>
            <w:r>
              <w:rPr>
                <w:rFonts w:cstheme="minorHAnsi"/>
                <w:sz w:val="20"/>
                <w:szCs w:val="20"/>
              </w:rPr>
              <w:t>coefficiente C, quale rapporto tra l’energia proveniente da fonti rinnovabili che si produrrà a seguito della realizzazione dell’intervento, da dimostrare mediante idonea documentazione, sul fabbisogno totale dell’impresa. I valori devono essere conteggiati in kWh</w:t>
            </w:r>
          </w:p>
        </w:tc>
      </w:tr>
      <w:tr w:rsidR="001813DC" w14:paraId="1433284A" w14:textId="77777777" w:rsidTr="002D301D">
        <w:tc>
          <w:tcPr>
            <w:tcW w:w="846" w:type="dxa"/>
            <w:shd w:val="clear" w:color="auto" w:fill="auto"/>
          </w:tcPr>
          <w:p w14:paraId="3847F535" w14:textId="77777777" w:rsidR="001813DC" w:rsidRDefault="002D301D">
            <w:pPr>
              <w:spacing w:line="276" w:lineRule="auto"/>
              <w:jc w:val="center"/>
            </w:pPr>
            <w:r>
              <w:rPr>
                <w:rFonts w:cstheme="minorHAnsi"/>
                <w:sz w:val="20"/>
                <w:szCs w:val="20"/>
              </w:rPr>
              <w:t>SO5</w:t>
            </w:r>
          </w:p>
        </w:tc>
        <w:tc>
          <w:tcPr>
            <w:tcW w:w="4252" w:type="dxa"/>
            <w:shd w:val="clear" w:color="auto" w:fill="auto"/>
          </w:tcPr>
          <w:p w14:paraId="3B96BB76" w14:textId="77777777" w:rsidR="001813DC" w:rsidRDefault="002D301D">
            <w:pPr>
              <w:spacing w:line="276" w:lineRule="auto"/>
              <w:jc w:val="both"/>
            </w:pPr>
            <w:r>
              <w:rPr>
                <w:rFonts w:cstheme="minorHAnsi"/>
                <w:sz w:val="20"/>
                <w:szCs w:val="20"/>
              </w:rPr>
              <w:t xml:space="preserve">L’iniziativa prevede la connessione dell'impianto ad una </w:t>
            </w:r>
            <w:r>
              <w:rPr>
                <w:rFonts w:cstheme="minorHAnsi"/>
                <w:i/>
                <w:sz w:val="20"/>
                <w:szCs w:val="20"/>
              </w:rPr>
              <w:t xml:space="preserve">smart </w:t>
            </w:r>
            <w:proofErr w:type="spellStart"/>
            <w:r>
              <w:rPr>
                <w:rFonts w:cstheme="minorHAnsi"/>
                <w:i/>
                <w:sz w:val="20"/>
                <w:szCs w:val="20"/>
              </w:rPr>
              <w:t>grid</w:t>
            </w:r>
            <w:proofErr w:type="spellEnd"/>
            <w:r>
              <w:rPr>
                <w:rFonts w:cstheme="minorHAnsi"/>
                <w:sz w:val="20"/>
                <w:szCs w:val="20"/>
              </w:rPr>
              <w:t xml:space="preserve"> </w:t>
            </w:r>
          </w:p>
        </w:tc>
        <w:tc>
          <w:tcPr>
            <w:tcW w:w="4530" w:type="dxa"/>
            <w:shd w:val="clear" w:color="auto" w:fill="auto"/>
          </w:tcPr>
          <w:p w14:paraId="20A27A1B" w14:textId="77777777" w:rsidR="001813DC" w:rsidRDefault="002D301D">
            <w:pPr>
              <w:spacing w:line="276" w:lineRule="auto"/>
              <w:jc w:val="both"/>
            </w:pPr>
            <w:r>
              <w:rPr>
                <w:rFonts w:cstheme="minorHAnsi"/>
                <w:sz w:val="20"/>
                <w:szCs w:val="20"/>
              </w:rPr>
              <w:t xml:space="preserve">Per ottenere il valore del coefficiente pari a 1, l’iniziativa prevede l’adesione ad una </w:t>
            </w:r>
            <w:r>
              <w:rPr>
                <w:rFonts w:cstheme="minorHAnsi"/>
                <w:i/>
                <w:iCs/>
                <w:sz w:val="20"/>
                <w:szCs w:val="20"/>
              </w:rPr>
              <w:t xml:space="preserve">smart </w:t>
            </w:r>
            <w:proofErr w:type="spellStart"/>
            <w:r>
              <w:rPr>
                <w:rFonts w:cstheme="minorHAnsi"/>
                <w:i/>
                <w:iCs/>
                <w:sz w:val="20"/>
                <w:szCs w:val="20"/>
              </w:rPr>
              <w:t>grid</w:t>
            </w:r>
            <w:proofErr w:type="spellEnd"/>
            <w:r>
              <w:rPr>
                <w:rFonts w:cstheme="minorHAnsi"/>
                <w:sz w:val="20"/>
                <w:szCs w:val="20"/>
              </w:rPr>
              <w:t xml:space="preserve"> in qualità di utilizzatore di energia prodotta da una comunità energetica</w:t>
            </w:r>
          </w:p>
        </w:tc>
      </w:tr>
      <w:tr w:rsidR="001813DC" w14:paraId="427C10A7" w14:textId="77777777" w:rsidTr="002D301D">
        <w:tc>
          <w:tcPr>
            <w:tcW w:w="846" w:type="dxa"/>
            <w:shd w:val="clear" w:color="auto" w:fill="auto"/>
            <w:vAlign w:val="center"/>
          </w:tcPr>
          <w:p w14:paraId="099D677E" w14:textId="77777777" w:rsidR="001813DC" w:rsidRDefault="002D301D">
            <w:pPr>
              <w:spacing w:line="276" w:lineRule="auto"/>
              <w:jc w:val="center"/>
            </w:pPr>
            <w:r>
              <w:rPr>
                <w:rFonts w:cstheme="minorHAnsi"/>
                <w:sz w:val="20"/>
                <w:szCs w:val="20"/>
              </w:rPr>
              <w:t>SO6</w:t>
            </w:r>
          </w:p>
        </w:tc>
        <w:tc>
          <w:tcPr>
            <w:tcW w:w="4252" w:type="dxa"/>
            <w:shd w:val="clear" w:color="auto" w:fill="auto"/>
            <w:vAlign w:val="center"/>
          </w:tcPr>
          <w:p w14:paraId="7698009F" w14:textId="77777777" w:rsidR="001813DC" w:rsidRDefault="002D301D">
            <w:pPr>
              <w:spacing w:line="276" w:lineRule="auto"/>
              <w:jc w:val="both"/>
            </w:pPr>
            <w:r>
              <w:rPr>
                <w:rFonts w:cstheme="minorHAnsi"/>
                <w:sz w:val="20"/>
                <w:szCs w:val="20"/>
              </w:rPr>
              <w:t xml:space="preserve">L’iniziativa prevede interventi che contribuiscono a ridurre l'impatto sull'ambiente (es. trattamento dei rifiuti, </w:t>
            </w:r>
            <w:r>
              <w:rPr>
                <w:rFonts w:cstheme="minorHAnsi"/>
                <w:color w:val="000000"/>
                <w:sz w:val="20"/>
                <w:szCs w:val="20"/>
              </w:rPr>
              <w:t>riduzione dell’utilizzo della plastica nel ciclo di produzione ovvero per il riciclo del materiale plastico</w:t>
            </w:r>
            <w:r>
              <w:rPr>
                <w:rFonts w:cstheme="minorHAnsi"/>
                <w:sz w:val="20"/>
                <w:szCs w:val="20"/>
              </w:rPr>
              <w:t>)</w:t>
            </w:r>
          </w:p>
        </w:tc>
        <w:tc>
          <w:tcPr>
            <w:tcW w:w="4530" w:type="dxa"/>
            <w:shd w:val="clear" w:color="auto" w:fill="auto"/>
          </w:tcPr>
          <w:p w14:paraId="405CC847" w14:textId="77777777" w:rsidR="001813DC" w:rsidRDefault="002D301D">
            <w:pPr>
              <w:spacing w:line="276" w:lineRule="auto"/>
              <w:jc w:val="both"/>
            </w:pPr>
            <w:r>
              <w:rPr>
                <w:rFonts w:cstheme="minorHAnsi"/>
                <w:sz w:val="20"/>
                <w:szCs w:val="20"/>
              </w:rPr>
              <w:t>Il criterio è conteggiato mediante il rapporto tra i costi sostenuti per gli investimenti legati alla ridurre l'impatto sull'ambiente e chiaramente connessi all’attività di progetto rispetto al costo totale dell’investimento.</w:t>
            </w:r>
          </w:p>
        </w:tc>
      </w:tr>
    </w:tbl>
    <w:p w14:paraId="2C97ADBC" w14:textId="77777777" w:rsidR="001813DC" w:rsidRDefault="001813DC" w:rsidP="0067599D">
      <w:pPr>
        <w:spacing w:line="276" w:lineRule="auto"/>
        <w:jc w:val="both"/>
      </w:pPr>
    </w:p>
    <w:sectPr w:rsidR="001813DC" w:rsidSect="0067599D">
      <w:pgSz w:w="11906" w:h="16838"/>
      <w:pgMar w:top="568" w:right="991" w:bottom="1134"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3DC"/>
    <w:rsid w:val="001813DC"/>
    <w:rsid w:val="002D301D"/>
    <w:rsid w:val="0067599D"/>
    <w:rsid w:val="00B143FC"/>
    <w:rsid w:val="00C02E17"/>
    <w:rsid w:val="00C101D1"/>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5C7EB"/>
  <w15:docId w15:val="{4F24791A-8EEC-4C94-83A4-5B0AA35F8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Cs w:val="22"/>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85242"/>
    <w:rPr>
      <w:rFonts w:ascii="Calibri" w:eastAsia="Calibri" w:hAnsi="Calibri"/>
      <w:kern w:val="0"/>
      <w:sz w:val="24"/>
      <w:szCs w:val="24"/>
      <w14:ligatures w14:val="none"/>
    </w:rPr>
  </w:style>
  <w:style w:type="paragraph" w:styleId="Titolo1">
    <w:name w:val="heading 1"/>
    <w:basedOn w:val="Normale"/>
    <w:next w:val="Normale"/>
    <w:link w:val="Titolo1Carattere"/>
    <w:uiPriority w:val="9"/>
    <w:qFormat/>
    <w:rsid w:val="00585242"/>
    <w:pPr>
      <w:keepNext/>
      <w:keepLines/>
      <w:spacing w:before="240"/>
      <w:outlineLvl w:val="0"/>
    </w:pPr>
    <w:rPr>
      <w:rFonts w:asciiTheme="majorHAnsi" w:eastAsiaTheme="majorEastAsia" w:hAnsiTheme="majorHAnsi" w:cstheme="majorBidi"/>
      <w:b/>
      <w:i/>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qFormat/>
    <w:rsid w:val="00585242"/>
    <w:rPr>
      <w:rFonts w:asciiTheme="majorHAnsi" w:eastAsiaTheme="majorEastAsia" w:hAnsiTheme="majorHAnsi" w:cstheme="majorBidi"/>
      <w:b/>
      <w:i/>
      <w:kern w:val="0"/>
      <w:sz w:val="24"/>
      <w:szCs w:val="32"/>
      <w14:ligatures w14:val="none"/>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customStyle="1" w:styleId="CM14">
    <w:name w:val="CM14"/>
    <w:basedOn w:val="Normale"/>
    <w:next w:val="Normale"/>
    <w:qFormat/>
    <w:rsid w:val="00585242"/>
    <w:pPr>
      <w:widowControl w:val="0"/>
    </w:pPr>
    <w:rPr>
      <w:rFonts w:eastAsia="Times New Roman" w:cs="Arial"/>
      <w:lang w:eastAsia="it-IT"/>
    </w:rPr>
  </w:style>
  <w:style w:type="paragraph" w:customStyle="1" w:styleId="Default">
    <w:name w:val="Default"/>
    <w:qFormat/>
    <w:rsid w:val="00585242"/>
    <w:pPr>
      <w:widowControl w:val="0"/>
    </w:pPr>
    <w:rPr>
      <w:rFonts w:ascii="Calibri" w:eastAsia="Times New Roman" w:hAnsi="Calibri" w:cs="Calibri"/>
      <w:color w:val="000000"/>
      <w:kern w:val="0"/>
      <w:sz w:val="24"/>
      <w:szCs w:val="24"/>
      <w:lang w:eastAsia="it-IT"/>
      <w14:ligatures w14:val="none"/>
    </w:rPr>
  </w:style>
  <w:style w:type="table" w:styleId="Grigliatabella">
    <w:name w:val="Table Grid"/>
    <w:basedOn w:val="Tabellanormale"/>
    <w:uiPriority w:val="39"/>
    <w:rsid w:val="00585242"/>
    <w:rPr>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1402</Words>
  <Characters>7992</Characters>
  <Application>Microsoft Office Word</Application>
  <DocSecurity>0</DocSecurity>
  <Lines>66</Lines>
  <Paragraphs>18</Paragraphs>
  <ScaleCrop>false</ScaleCrop>
  <Company/>
  <LinksUpToDate>false</LinksUpToDate>
  <CharactersWithSpaces>9376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 Ortoleva</dc:creator>
  <dc:description/>
  <cp:lastModifiedBy>Carmelo Grimaudo</cp:lastModifiedBy>
  <cp:revision>17</cp:revision>
  <dcterms:created xsi:type="dcterms:W3CDTF">2024-06-19T08:40:00Z</dcterms:created>
  <dcterms:modified xsi:type="dcterms:W3CDTF">2024-11-06T14:11:00Z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