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Rigadintestazione"/>
        <w:rPr>
          <w:rFonts w:ascii="Times New Roman" w:hAnsi="Times New Roman" w:cs="Times New Roman"/>
          <w:sz w:val="22"/>
          <w:szCs w:val="22"/>
        </w:rPr>
      </w:pPr>
      <w:r>
        <w:rPr>
          <w:rFonts w:cs="Times New Roman" w:ascii="Times New Roman" w:hAnsi="Times New Roman"/>
          <w:sz w:val="22"/>
          <w:szCs w:val="22"/>
        </w:rPr>
        <w:t>D.R.S.  n.  2109/2025</w:t>
        <w:tab/>
      </w:r>
    </w:p>
    <w:p>
      <w:pPr>
        <w:pStyle w:val="Titolo6"/>
        <w:numPr>
          <w:ilvl w:val="5"/>
          <w:numId w:val="2"/>
        </w:numPr>
        <w:jc w:val="center"/>
        <w:rPr>
          <w:rFonts w:ascii="Times New Roman" w:hAnsi="Times New Roman" w:cs="Times New Roman"/>
          <w:sz w:val="22"/>
          <w:szCs w:val="22"/>
        </w:rPr>
      </w:pPr>
      <w:r>
        <w:rPr>
          <w:rFonts w:cs="Times New Roman" w:ascii="Times New Roman" w:hAnsi="Times New Roman"/>
          <w:sz w:val="22"/>
          <w:szCs w:val="22"/>
        </w:rPr>
        <w:t xml:space="preserve">    </w:t>
      </w:r>
      <w:r>
        <w:rPr>
          <w:rFonts w:cs="Times New Roman" w:ascii="Times New Roman" w:hAnsi="Times New Roman"/>
          <w:sz w:val="22"/>
          <w:szCs w:val="22"/>
        </w:rPr>
        <w:t>REPUBBLICA ITALIANA</w:t>
      </w:r>
    </w:p>
    <w:p>
      <w:pPr>
        <w:pStyle w:val="Corpodeltesto"/>
        <w:jc w:val="center"/>
        <w:rPr>
          <w:rFonts w:ascii="Times New Roman" w:hAnsi="Times New Roman" w:cs="Times New Roman"/>
          <w:sz w:val="22"/>
          <w:szCs w:val="22"/>
        </w:rPr>
      </w:pPr>
      <w:r>
        <w:rPr>
          <w:rFonts w:cs="Times New Roman" w:ascii="Times New Roman" w:hAnsi="Times New Roman"/>
          <w:sz w:val="22"/>
          <w:szCs w:val="22"/>
        </w:rPr>
        <w:drawing>
          <wp:anchor behindDoc="0" distT="0" distB="0" distL="0" distR="0" simplePos="0" locked="0" layoutInCell="0" allowOverlap="1" relativeHeight="2">
            <wp:simplePos x="0" y="0"/>
            <wp:positionH relativeFrom="column">
              <wp:posOffset>3006090</wp:posOffset>
            </wp:positionH>
            <wp:positionV relativeFrom="paragraph">
              <wp:posOffset>47625</wp:posOffset>
            </wp:positionV>
            <wp:extent cx="245745" cy="360045"/>
            <wp:effectExtent l="0" t="0" r="0" b="0"/>
            <wp:wrapNone/>
            <wp:docPr id="1" name="Immagin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1" descr=""/>
                    <pic:cNvPicPr>
                      <a:picLocks noChangeAspect="1" noChangeArrowheads="1"/>
                    </pic:cNvPicPr>
                  </pic:nvPicPr>
                  <pic:blipFill>
                    <a:blip r:embed="rId2"/>
                    <a:srcRect l="-5596" t="-4236" r="-5596" b="-4236"/>
                    <a:stretch>
                      <a:fillRect/>
                    </a:stretch>
                  </pic:blipFill>
                  <pic:spPr bwMode="auto">
                    <a:xfrm>
                      <a:off x="0" y="0"/>
                      <a:ext cx="245745" cy="360045"/>
                    </a:xfrm>
                    <a:prstGeom prst="rect">
                      <a:avLst/>
                    </a:prstGeom>
                  </pic:spPr>
                </pic:pic>
              </a:graphicData>
            </a:graphic>
          </wp:anchor>
        </w:drawing>
      </w:r>
    </w:p>
    <w:p>
      <w:pPr>
        <w:pStyle w:val="Corpodeltesto"/>
        <w:jc w:val="center"/>
        <w:rPr>
          <w:rFonts w:ascii="Times New Roman" w:hAnsi="Times New Roman" w:cs="Times New Roman"/>
          <w:sz w:val="22"/>
          <w:szCs w:val="22"/>
        </w:rPr>
      </w:pPr>
      <w:r>
        <w:rPr>
          <w:rFonts w:cs="Times New Roman" w:ascii="Times New Roman" w:hAnsi="Times New Roman"/>
          <w:sz w:val="22"/>
          <w:szCs w:val="22"/>
        </w:rPr>
      </w:r>
    </w:p>
    <w:p>
      <w:pPr>
        <w:pStyle w:val="Normal"/>
        <w:jc w:val="center"/>
        <w:rPr>
          <w:rFonts w:ascii="Times New Roman" w:hAnsi="Times New Roman" w:cs="Times New Roman"/>
          <w:sz w:val="22"/>
          <w:szCs w:val="22"/>
        </w:rPr>
      </w:pPr>
      <w:r>
        <w:rPr>
          <w:rFonts w:cs="Times New Roman" w:ascii="Times New Roman" w:hAnsi="Times New Roman"/>
          <w:caps/>
          <w:color w:val="000000"/>
          <w:sz w:val="22"/>
          <w:szCs w:val="22"/>
        </w:rPr>
        <w:t xml:space="preserve"> </w:t>
      </w:r>
      <w:r>
        <w:rPr>
          <w:rStyle w:val="Nessuno"/>
          <w:rFonts w:cs="Times New Roman" w:ascii="Times New Roman" w:hAnsi="Times New Roman"/>
          <w:caps/>
          <w:color w:val="000000"/>
          <w:sz w:val="22"/>
          <w:szCs w:val="22"/>
        </w:rPr>
        <w:t>Regione Siciliana</w:t>
      </w:r>
    </w:p>
    <w:p>
      <w:pPr>
        <w:pStyle w:val="Normale1"/>
        <w:jc w:val="center"/>
        <w:rPr>
          <w:rFonts w:cs="Times New Roman"/>
          <w:sz w:val="22"/>
          <w:szCs w:val="22"/>
        </w:rPr>
      </w:pPr>
      <w:r>
        <w:rPr>
          <w:rStyle w:val="Nessuno"/>
          <w:rFonts w:cs="Times New Roman"/>
          <w:sz w:val="22"/>
          <w:szCs w:val="22"/>
        </w:rPr>
        <w:t>Assessorato dei Beni Culturali e dell'Identità Siciliana</w:t>
      </w:r>
    </w:p>
    <w:p>
      <w:pPr>
        <w:pStyle w:val="Normale1"/>
        <w:jc w:val="center"/>
        <w:rPr>
          <w:rFonts w:cs="Times New Roman"/>
          <w:sz w:val="22"/>
          <w:szCs w:val="22"/>
        </w:rPr>
      </w:pPr>
      <w:r>
        <w:rPr>
          <w:rStyle w:val="Nessuno"/>
          <w:rFonts w:cs="Times New Roman"/>
          <w:sz w:val="22"/>
          <w:szCs w:val="22"/>
        </w:rPr>
        <w:t>Dipartimento dei Beni Culturali e dell'Identità Siciliana</w:t>
      </w:r>
    </w:p>
    <w:p>
      <w:pPr>
        <w:pStyle w:val="Normale1"/>
        <w:jc w:val="center"/>
        <w:rPr>
          <w:rFonts w:cs="Times New Roman"/>
          <w:sz w:val="22"/>
          <w:szCs w:val="22"/>
        </w:rPr>
      </w:pPr>
      <w:r>
        <w:rPr>
          <w:rStyle w:val="Nessuno"/>
          <w:rFonts w:cs="Times New Roman"/>
          <w:b/>
          <w:bCs/>
          <w:sz w:val="22"/>
          <w:szCs w:val="22"/>
        </w:rPr>
        <w:t xml:space="preserve">Galleria Regionale di Palazzo Bellomo (museo interdisciplinare)  </w:t>
      </w:r>
    </w:p>
    <w:p>
      <w:pPr>
        <w:pStyle w:val="Rigadintestazione"/>
        <w:jc w:val="center"/>
        <w:rPr>
          <w:rFonts w:ascii="Times New Roman" w:hAnsi="Times New Roman" w:cs="Times New Roman"/>
          <w:sz w:val="22"/>
          <w:szCs w:val="22"/>
        </w:rPr>
      </w:pPr>
      <w:r>
        <w:rPr>
          <w:rStyle w:val="Nessuno"/>
          <w:rFonts w:cs="Times New Roman" w:ascii="Times New Roman" w:hAnsi="Times New Roman"/>
          <w:b w:val="false"/>
          <w:caps/>
          <w:color w:val="000000"/>
          <w:sz w:val="22"/>
          <w:szCs w:val="22"/>
        </w:rPr>
        <w:t>Via Capodieci, 14 – 96100  Siracusa</w:t>
      </w:r>
    </w:p>
    <w:p>
      <w:pPr>
        <w:pStyle w:val="Rigadintestazione"/>
        <w:jc w:val="center"/>
        <w:rPr>
          <w:rFonts w:ascii="Times New Roman" w:hAnsi="Times New Roman" w:cs="Times New Roman"/>
          <w:b w:val="false"/>
          <w:b w:val="false"/>
          <w:sz w:val="22"/>
          <w:szCs w:val="22"/>
        </w:rPr>
      </w:pPr>
      <w:r>
        <w:rPr>
          <w:rFonts w:cs="Times New Roman" w:ascii="Times New Roman" w:hAnsi="Times New Roman"/>
          <w:b w:val="false"/>
          <w:sz w:val="22"/>
          <w:szCs w:val="22"/>
        </w:rPr>
      </w:r>
    </w:p>
    <w:p>
      <w:pPr>
        <w:pStyle w:val="Rigadintestazione"/>
        <w:jc w:val="center"/>
        <w:rPr>
          <w:rFonts w:ascii="Times New Roman" w:hAnsi="Times New Roman"/>
        </w:rPr>
      </w:pPr>
      <w:r>
        <w:rPr>
          <w:rFonts w:cs="Times New Roman" w:ascii="Times New Roman" w:hAnsi="Times New Roman"/>
          <w:sz w:val="22"/>
          <w:szCs w:val="22"/>
        </w:rPr>
        <w:t>IL  DIRIGENTE  del S28 – Galleria Regionale di Palazzo Bellomo (museo interdisciplinare).</w:t>
      </w:r>
    </w:p>
    <w:p>
      <w:pPr>
        <w:pStyle w:val="Rigadintestazione"/>
        <w:jc w:val="center"/>
        <w:rPr>
          <w:rFonts w:ascii="Times New Roman" w:hAnsi="Times New Roman" w:cs="Times New Roman"/>
          <w:sz w:val="22"/>
          <w:szCs w:val="22"/>
        </w:rPr>
      </w:pPr>
      <w:r>
        <w:rPr>
          <w:rFonts w:cs="Times New Roman" w:ascii="Times New Roman" w:hAnsi="Times New Roman"/>
          <w:sz w:val="22"/>
          <w:szCs w:val="22"/>
        </w:rPr>
      </w:r>
    </w:p>
    <w:p>
      <w:pPr>
        <w:pStyle w:val="Rigadintestazione"/>
        <w:jc w:val="center"/>
        <w:rPr>
          <w:rFonts w:ascii="Times New Roman" w:hAnsi="Times New Roman" w:cs="Times New Roman"/>
          <w:sz w:val="22"/>
          <w:szCs w:val="22"/>
        </w:rPr>
      </w:pPr>
      <w:r>
        <w:rPr>
          <w:rFonts w:cs="Times New Roman" w:ascii="Times New Roman" w:hAnsi="Times New Roman"/>
          <w:sz w:val="22"/>
          <w:szCs w:val="22"/>
        </w:rPr>
      </w:r>
    </w:p>
    <w:p>
      <w:pPr>
        <w:pStyle w:val="Rigadintestazione"/>
        <w:jc w:val="both"/>
        <w:rPr>
          <w:rFonts w:ascii="Times New Roman" w:hAnsi="Times New Roman"/>
        </w:rPr>
      </w:pPr>
      <w:r>
        <w:rPr>
          <w:rFonts w:cs="Times New Roman" w:ascii="Times New Roman" w:hAnsi="Times New Roman"/>
          <w:sz w:val="22"/>
          <w:szCs w:val="22"/>
        </w:rPr>
        <w:t>VISTO</w:t>
      </w:r>
      <w:r>
        <w:rPr>
          <w:rFonts w:cs="Times New Roman" w:ascii="Times New Roman" w:hAnsi="Times New Roman"/>
          <w:b w:val="false"/>
          <w:sz w:val="22"/>
          <w:szCs w:val="22"/>
        </w:rPr>
        <w:t xml:space="preserve"> lo Statuto della Regione Siciliana;</w:t>
      </w:r>
    </w:p>
    <w:p>
      <w:pPr>
        <w:pStyle w:val="Rigadintestazione"/>
        <w:jc w:val="both"/>
        <w:rPr>
          <w:rFonts w:ascii="Times New Roman" w:hAnsi="Times New Roman"/>
        </w:rPr>
      </w:pPr>
      <w:r>
        <w:rPr>
          <w:rFonts w:cs="Times New Roman" w:ascii="Times New Roman" w:hAnsi="Times New Roman"/>
          <w:sz w:val="22"/>
          <w:szCs w:val="22"/>
        </w:rPr>
        <w:t>VISTI</w:t>
      </w:r>
      <w:r>
        <w:rPr>
          <w:rFonts w:cs="Times New Roman" w:ascii="Times New Roman" w:hAnsi="Times New Roman"/>
          <w:b w:val="false"/>
          <w:sz w:val="22"/>
          <w:szCs w:val="22"/>
        </w:rPr>
        <w:t xml:space="preserve"> i DD. PP.RR. Nn .635 e 637 del 30/08/1975; </w:t>
      </w:r>
    </w:p>
    <w:p>
      <w:pPr>
        <w:pStyle w:val="Rigadintestazione"/>
        <w:jc w:val="both"/>
        <w:rPr>
          <w:rFonts w:ascii="Times New Roman" w:hAnsi="Times New Roman"/>
        </w:rPr>
      </w:pPr>
      <w:r>
        <w:rPr>
          <w:rFonts w:cs="Times New Roman" w:ascii="Times New Roman" w:hAnsi="Times New Roman"/>
          <w:sz w:val="22"/>
          <w:szCs w:val="22"/>
        </w:rPr>
        <w:t>VISTA</w:t>
      </w:r>
      <w:r>
        <w:rPr>
          <w:rFonts w:cs="Times New Roman" w:ascii="Times New Roman" w:hAnsi="Times New Roman"/>
          <w:b w:val="false"/>
          <w:sz w:val="22"/>
          <w:szCs w:val="22"/>
        </w:rPr>
        <w:t xml:space="preserve"> la Legge Regionale n. 80 del 01/08/1977; </w:t>
      </w:r>
    </w:p>
    <w:p>
      <w:pPr>
        <w:pStyle w:val="Rigadintestazione"/>
        <w:jc w:val="both"/>
        <w:rPr>
          <w:rFonts w:ascii="Times New Roman" w:hAnsi="Times New Roman"/>
        </w:rPr>
      </w:pPr>
      <w:r>
        <w:rPr>
          <w:rFonts w:cs="Times New Roman" w:ascii="Times New Roman" w:hAnsi="Times New Roman"/>
          <w:sz w:val="22"/>
          <w:szCs w:val="22"/>
        </w:rPr>
        <w:t>VISTA</w:t>
      </w:r>
      <w:r>
        <w:rPr>
          <w:rFonts w:cs="Times New Roman" w:ascii="Times New Roman" w:hAnsi="Times New Roman"/>
          <w:b w:val="false"/>
          <w:sz w:val="22"/>
          <w:szCs w:val="22"/>
        </w:rPr>
        <w:t xml:space="preserve"> la Legge Regionale n. 116/80; </w:t>
      </w:r>
    </w:p>
    <w:p>
      <w:pPr>
        <w:pStyle w:val="Rigadintestazione"/>
        <w:jc w:val="both"/>
        <w:rPr>
          <w:rFonts w:ascii="Times New Roman" w:hAnsi="Times New Roman"/>
        </w:rPr>
      </w:pPr>
      <w:r>
        <w:rPr>
          <w:rFonts w:cs="Times New Roman" w:ascii="Times New Roman" w:hAnsi="Times New Roman"/>
          <w:sz w:val="22"/>
          <w:szCs w:val="22"/>
        </w:rPr>
        <w:t>VISTO</w:t>
      </w:r>
      <w:r>
        <w:rPr>
          <w:rFonts w:cs="Times New Roman" w:ascii="Times New Roman" w:hAnsi="Times New Roman"/>
          <w:b w:val="false"/>
          <w:sz w:val="22"/>
          <w:szCs w:val="22"/>
        </w:rPr>
        <w:t xml:space="preserve"> il D. Lgs. n. 36 del 31/03/2023 recante il “Codice dei Contratti Pubblici”; </w:t>
      </w:r>
    </w:p>
    <w:p>
      <w:pPr>
        <w:pStyle w:val="Rigadintestazione"/>
        <w:jc w:val="both"/>
        <w:rPr>
          <w:rFonts w:ascii="Times New Roman" w:hAnsi="Times New Roman"/>
        </w:rPr>
      </w:pPr>
      <w:r>
        <w:rPr>
          <w:rFonts w:cs="Times New Roman" w:ascii="Times New Roman" w:hAnsi="Times New Roman"/>
          <w:sz w:val="22"/>
          <w:szCs w:val="22"/>
        </w:rPr>
        <w:t>VISTA</w:t>
      </w:r>
      <w:r>
        <w:rPr>
          <w:rFonts w:cs="Times New Roman" w:ascii="Times New Roman" w:hAnsi="Times New Roman"/>
          <w:b w:val="false"/>
          <w:sz w:val="22"/>
          <w:szCs w:val="22"/>
        </w:rPr>
        <w:t xml:space="preserve"> il D. Lgs. n.118/2011 Art. 56; </w:t>
      </w:r>
    </w:p>
    <w:p>
      <w:pPr>
        <w:pStyle w:val="Rigadintestazione"/>
        <w:jc w:val="both"/>
        <w:rPr>
          <w:rFonts w:ascii="Times New Roman" w:hAnsi="Times New Roman"/>
        </w:rPr>
      </w:pPr>
      <w:r>
        <w:rPr>
          <w:rFonts w:cs="Times New Roman" w:ascii="Times New Roman" w:hAnsi="Times New Roman"/>
          <w:sz w:val="22"/>
          <w:szCs w:val="22"/>
        </w:rPr>
        <w:t>VISTO</w:t>
      </w:r>
      <w:r>
        <w:rPr>
          <w:rFonts w:cs="Times New Roman" w:ascii="Times New Roman" w:hAnsi="Times New Roman"/>
          <w:b w:val="false"/>
          <w:sz w:val="22"/>
          <w:szCs w:val="22"/>
        </w:rPr>
        <w:t xml:space="preserve"> il D.A. n.80 del 11/09/2008; </w:t>
      </w:r>
    </w:p>
    <w:p>
      <w:pPr>
        <w:pStyle w:val="Rigadintestazione"/>
        <w:jc w:val="both"/>
        <w:rPr>
          <w:rFonts w:ascii="Times New Roman" w:hAnsi="Times New Roman"/>
        </w:rPr>
      </w:pPr>
      <w:r>
        <w:rPr>
          <w:rFonts w:cs="Times New Roman" w:ascii="Times New Roman" w:hAnsi="Times New Roman"/>
          <w:sz w:val="22"/>
          <w:szCs w:val="22"/>
        </w:rPr>
        <w:t>VISTA</w:t>
      </w:r>
      <w:r>
        <w:rPr>
          <w:rFonts w:cs="Times New Roman" w:ascii="Times New Roman" w:hAnsi="Times New Roman"/>
          <w:b w:val="false"/>
          <w:sz w:val="22"/>
          <w:szCs w:val="22"/>
        </w:rPr>
        <w:t xml:space="preserve"> la Legge n. 136 del 13/08/2010 sulla tracciabilità dei flussi finanziari; </w:t>
      </w:r>
    </w:p>
    <w:p>
      <w:pPr>
        <w:pStyle w:val="Rigadintestazione"/>
        <w:jc w:val="both"/>
        <w:rPr>
          <w:rFonts w:ascii="Times New Roman" w:hAnsi="Times New Roman"/>
        </w:rPr>
      </w:pPr>
      <w:r>
        <w:rPr>
          <w:rFonts w:cs="Times New Roman" w:ascii="Times New Roman" w:hAnsi="Times New Roman"/>
          <w:bCs/>
          <w:kern w:val="0"/>
          <w:sz w:val="22"/>
          <w:szCs w:val="22"/>
          <w:lang w:eastAsia="it-IT"/>
        </w:rPr>
        <w:t>VISTA</w:t>
      </w:r>
      <w:r>
        <w:rPr>
          <w:rFonts w:cs="Times New Roman" w:ascii="Times New Roman" w:hAnsi="Times New Roman"/>
          <w:b w:val="false"/>
          <w:bCs/>
          <w:kern w:val="0"/>
          <w:sz w:val="22"/>
          <w:szCs w:val="22"/>
          <w:lang w:eastAsia="it-IT"/>
        </w:rPr>
        <w:t xml:space="preserve"> </w:t>
      </w:r>
      <w:r>
        <w:rPr>
          <w:rFonts w:cs="Times New Roman" w:ascii="Times New Roman" w:hAnsi="Times New Roman"/>
          <w:b w:val="false"/>
          <w:kern w:val="0"/>
          <w:sz w:val="22"/>
          <w:szCs w:val="22"/>
          <w:lang w:eastAsia="it-IT"/>
        </w:rPr>
        <w:t>la L.R. 21 maggio 2019 n. 7 integrata dalla L.R. 7 luglio 2020 n. 13;</w:t>
      </w:r>
    </w:p>
    <w:p>
      <w:pPr>
        <w:pStyle w:val="Rigadintestazione"/>
        <w:jc w:val="both"/>
        <w:rPr>
          <w:rFonts w:ascii="Times New Roman" w:hAnsi="Times New Roman"/>
        </w:rPr>
      </w:pPr>
      <w:r>
        <w:rPr>
          <w:rFonts w:cs="Times New Roman" w:ascii="Times New Roman" w:hAnsi="Times New Roman"/>
          <w:sz w:val="22"/>
          <w:szCs w:val="22"/>
        </w:rPr>
        <w:t>VISTO</w:t>
      </w:r>
      <w:r>
        <w:rPr>
          <w:rFonts w:cs="Times New Roman" w:ascii="Times New Roman" w:hAnsi="Times New Roman"/>
          <w:b w:val="false"/>
          <w:sz w:val="22"/>
          <w:szCs w:val="22"/>
        </w:rPr>
        <w:t xml:space="preserve"> l'Art. 68 della L.R. n. 21 del 12/08/2014 e s.m.i.; </w:t>
      </w:r>
    </w:p>
    <w:p>
      <w:pPr>
        <w:pStyle w:val="Rigadintestazione"/>
        <w:jc w:val="both"/>
        <w:rPr>
          <w:rFonts w:ascii="Times New Roman" w:hAnsi="Times New Roman"/>
        </w:rPr>
      </w:pPr>
      <w:r>
        <w:rPr>
          <w:rFonts w:cs="Times New Roman" w:ascii="Times New Roman" w:hAnsi="Times New Roman"/>
          <w:sz w:val="22"/>
          <w:szCs w:val="22"/>
        </w:rPr>
        <w:t>VISTO</w:t>
      </w:r>
      <w:r>
        <w:rPr>
          <w:rFonts w:cs="Times New Roman" w:ascii="Times New Roman" w:hAnsi="Times New Roman"/>
          <w:b w:val="false"/>
          <w:sz w:val="22"/>
          <w:szCs w:val="22"/>
        </w:rPr>
        <w:t xml:space="preserve"> il Decreto del 23/01/2015, del Ministero dell'Economia e delle Finanze;</w:t>
      </w:r>
    </w:p>
    <w:p>
      <w:pPr>
        <w:pStyle w:val="Rigadintestazione"/>
        <w:jc w:val="both"/>
        <w:rPr>
          <w:rFonts w:ascii="Times New Roman" w:hAnsi="Times New Roman"/>
        </w:rPr>
      </w:pPr>
      <w:r>
        <w:rPr>
          <w:rFonts w:cs="Times New Roman" w:ascii="Times New Roman" w:hAnsi="Times New Roman"/>
          <w:b w:val="false"/>
          <w:bCs/>
          <w:kern w:val="0"/>
          <w:sz w:val="22"/>
          <w:szCs w:val="22"/>
          <w:lang w:eastAsia="it-IT"/>
        </w:rPr>
        <w:t xml:space="preserve">VISTA </w:t>
      </w:r>
      <w:r>
        <w:rPr>
          <w:rFonts w:cs="Times New Roman" w:ascii="Times New Roman" w:hAnsi="Times New Roman"/>
          <w:b w:val="false"/>
          <w:kern w:val="0"/>
          <w:sz w:val="22"/>
          <w:szCs w:val="22"/>
          <w:lang w:eastAsia="it-IT"/>
        </w:rPr>
        <w:t>la Circolare n. 11 del 01/07/2021 del Dipartimento Regionale Bilancio e Tesoro, Ragioneria Generale della Regione, “Articolo 9 della L.R. n. 9 del 15 aprile 2021 recante Disposizioni programmatiche e correttive per l'anno 2021. Legge di stabilità regionale”;</w:t>
      </w:r>
    </w:p>
    <w:p>
      <w:pPr>
        <w:pStyle w:val="Rigadintestazione"/>
        <w:jc w:val="both"/>
        <w:rPr>
          <w:rFonts w:ascii="Times New Roman" w:hAnsi="Times New Roman"/>
        </w:rPr>
      </w:pPr>
      <w:r>
        <w:rPr>
          <w:rFonts w:cs="Times New Roman" w:ascii="Times New Roman" w:hAnsi="Times New Roman"/>
          <w:bCs/>
          <w:kern w:val="0"/>
          <w:sz w:val="22"/>
          <w:szCs w:val="22"/>
          <w:lang w:eastAsia="it-IT"/>
        </w:rPr>
        <w:t>VISTA</w:t>
      </w:r>
      <w:r>
        <w:rPr>
          <w:rFonts w:cs="Times New Roman" w:ascii="Times New Roman" w:hAnsi="Times New Roman"/>
          <w:b w:val="false"/>
          <w:bCs/>
          <w:kern w:val="0"/>
          <w:sz w:val="22"/>
          <w:szCs w:val="22"/>
          <w:lang w:eastAsia="it-IT"/>
        </w:rPr>
        <w:t xml:space="preserve"> </w:t>
      </w:r>
      <w:r>
        <w:rPr>
          <w:rFonts w:cs="Times New Roman" w:ascii="Times New Roman" w:hAnsi="Times New Roman"/>
          <w:b w:val="false"/>
          <w:kern w:val="0"/>
          <w:sz w:val="22"/>
          <w:szCs w:val="22"/>
          <w:lang w:eastAsia="it-IT"/>
        </w:rPr>
        <w:t>la Circolare n. 23 del 27/12/2023 del Dipartimento Regionale Bilancio e Tesoro, Ragioneria Generale della Regione, avente ad oggetto Prime indicazioni sulle modalità di trasmissione degli atti da sottoporre al controllo delle Ragionerie Centrali attraverso la nuova procedura contabile SCORE (Entrata e spesa);</w:t>
      </w:r>
    </w:p>
    <w:p>
      <w:pPr>
        <w:pStyle w:val="Rigadintestazione"/>
        <w:jc w:val="both"/>
        <w:rPr>
          <w:rFonts w:ascii="Times New Roman" w:hAnsi="Times New Roman"/>
        </w:rPr>
      </w:pPr>
      <w:r>
        <w:rPr>
          <w:rFonts w:cs="Times New Roman" w:ascii="Times New Roman" w:hAnsi="Times New Roman"/>
          <w:bCs/>
          <w:kern w:val="0"/>
          <w:sz w:val="22"/>
          <w:szCs w:val="22"/>
          <w:lang w:eastAsia="it-IT"/>
        </w:rPr>
        <w:t>VISTA</w:t>
      </w:r>
      <w:r>
        <w:rPr>
          <w:rFonts w:cs="Times New Roman" w:ascii="Times New Roman" w:hAnsi="Times New Roman"/>
          <w:b w:val="false"/>
          <w:bCs/>
          <w:kern w:val="0"/>
          <w:sz w:val="22"/>
          <w:szCs w:val="22"/>
          <w:lang w:eastAsia="it-IT"/>
        </w:rPr>
        <w:t xml:space="preserve"> </w:t>
      </w:r>
      <w:r>
        <w:rPr>
          <w:rFonts w:cs="Times New Roman" w:ascii="Times New Roman" w:hAnsi="Times New Roman"/>
          <w:b w:val="false"/>
          <w:kern w:val="0"/>
          <w:sz w:val="22"/>
          <w:szCs w:val="22"/>
          <w:lang w:eastAsia="it-IT"/>
        </w:rPr>
        <w:t>la Legge regionale n. 1 del 9 gennaio 2025 recante “Legge di stabilità regionale 2025-2027” pubblicata sulla GURS n. 3 del 15/01/2025;</w:t>
      </w:r>
    </w:p>
    <w:p>
      <w:pPr>
        <w:pStyle w:val="Rigadintestazione"/>
        <w:jc w:val="both"/>
        <w:rPr>
          <w:rFonts w:ascii="Times New Roman" w:hAnsi="Times New Roman"/>
        </w:rPr>
      </w:pPr>
      <w:r>
        <w:rPr>
          <w:rFonts w:cs="Times New Roman" w:ascii="Times New Roman" w:hAnsi="Times New Roman"/>
          <w:bCs/>
          <w:kern w:val="0"/>
          <w:sz w:val="22"/>
          <w:szCs w:val="22"/>
          <w:lang w:eastAsia="it-IT"/>
        </w:rPr>
        <w:t>VISTA</w:t>
      </w:r>
      <w:r>
        <w:rPr>
          <w:rFonts w:cs="Times New Roman" w:ascii="Times New Roman" w:hAnsi="Times New Roman"/>
          <w:b w:val="false"/>
          <w:bCs/>
          <w:kern w:val="0"/>
          <w:sz w:val="22"/>
          <w:szCs w:val="22"/>
          <w:lang w:eastAsia="it-IT"/>
        </w:rPr>
        <w:t xml:space="preserve"> </w:t>
      </w:r>
      <w:r>
        <w:rPr>
          <w:rFonts w:cs="Times New Roman" w:ascii="Times New Roman" w:hAnsi="Times New Roman"/>
          <w:b w:val="false"/>
          <w:kern w:val="0"/>
          <w:sz w:val="22"/>
          <w:szCs w:val="22"/>
          <w:lang w:eastAsia="it-IT"/>
        </w:rPr>
        <w:t>la Legge regionale n. 2 del 9 gennaio 2025 recante “Bilancio di previsione della Regione siciliana per il triennio 2025-2027”;</w:t>
      </w:r>
    </w:p>
    <w:p>
      <w:pPr>
        <w:pStyle w:val="Rigadintestazione"/>
        <w:jc w:val="both"/>
        <w:rPr>
          <w:rFonts w:ascii="Times New Roman" w:hAnsi="Times New Roman"/>
        </w:rPr>
      </w:pPr>
      <w:r>
        <w:rPr>
          <w:rFonts w:cs="Times New Roman" w:ascii="Times New Roman" w:hAnsi="Times New Roman"/>
          <w:bCs/>
          <w:kern w:val="0"/>
          <w:sz w:val="22"/>
          <w:szCs w:val="22"/>
          <w:lang w:eastAsia="it-IT"/>
        </w:rPr>
        <w:t>VISTA</w:t>
      </w:r>
      <w:r>
        <w:rPr>
          <w:rFonts w:cs="Times New Roman" w:ascii="Times New Roman" w:hAnsi="Times New Roman"/>
          <w:b w:val="false"/>
          <w:bCs/>
          <w:kern w:val="0"/>
          <w:sz w:val="22"/>
          <w:szCs w:val="22"/>
          <w:lang w:eastAsia="it-IT"/>
        </w:rPr>
        <w:t xml:space="preserve"> </w:t>
      </w:r>
      <w:r>
        <w:rPr>
          <w:rFonts w:cs="Times New Roman" w:ascii="Times New Roman" w:hAnsi="Times New Roman"/>
          <w:b w:val="false"/>
          <w:kern w:val="0"/>
          <w:sz w:val="22"/>
          <w:szCs w:val="22"/>
          <w:lang w:eastAsia="it-IT"/>
        </w:rPr>
        <w:t>la Deliberazione della Giunta Regionale n. 2 del 16 gennaio 2025 “Legge regionale 9 gennaio 2025, n. 2. Bilancio di previsione della Regione Siciliana per il triennio 2025/2027. Decreto legislativo 23 giugno 2011, n. 118, e successive modifiche ed integrazioni, Allegato 4/1 – 9.2. Approvazione del Documento tecnico di accompagnamento, Bilancio finanziario gestionale, Perimetro sanitario e Piano degli indicatori”;</w:t>
      </w:r>
    </w:p>
    <w:p>
      <w:pPr>
        <w:pStyle w:val="Rigadintestazione"/>
        <w:jc w:val="both"/>
        <w:rPr>
          <w:rFonts w:ascii="Times New Roman" w:hAnsi="Times New Roman"/>
        </w:rPr>
      </w:pPr>
      <w:r>
        <w:rPr>
          <w:rFonts w:cs="Times New Roman" w:ascii="Times New Roman" w:hAnsi="Times New Roman"/>
          <w:sz w:val="22"/>
          <w:szCs w:val="22"/>
        </w:rPr>
        <w:t>VISTO</w:t>
      </w:r>
      <w:r>
        <w:rPr>
          <w:rFonts w:cs="Times New Roman" w:ascii="Times New Roman" w:hAnsi="Times New Roman"/>
          <w:b w:val="false"/>
          <w:sz w:val="22"/>
          <w:szCs w:val="22"/>
        </w:rPr>
        <w:t xml:space="preserve">  il D.P.Reg. n. 723 del 17/02/2025 con la quale è stato conferito l'incarico di Dirigente Generale del Dipartimento Beni Culturali e dell'Identità Siciliana all'Ing. Mario La Rocca di cui alla Deliberazione della Giunta Regionale n. 39 del 14/02/2025;</w:t>
      </w:r>
    </w:p>
    <w:p>
      <w:pPr>
        <w:pStyle w:val="Rigadintestazione"/>
        <w:jc w:val="both"/>
        <w:rPr>
          <w:rFonts w:ascii="Times New Roman" w:hAnsi="Times New Roman"/>
        </w:rPr>
      </w:pPr>
      <w:r>
        <w:rPr>
          <w:rFonts w:cs="Times New Roman" w:ascii="Times New Roman" w:hAnsi="Times New Roman"/>
          <w:sz w:val="22"/>
          <w:szCs w:val="22"/>
        </w:rPr>
        <w:t>VISTO</w:t>
      </w:r>
      <w:r>
        <w:rPr>
          <w:rFonts w:cs="Times New Roman" w:ascii="Times New Roman" w:hAnsi="Times New Roman"/>
          <w:b w:val="false"/>
          <w:sz w:val="22"/>
          <w:szCs w:val="22"/>
        </w:rPr>
        <w:t xml:space="preserve"> il D.D.G. n. 2217 del 13.06.2022 è stato conferito l’incarico di Dirigente Responsabile della Galleria Regionale di Palazzo Bellomo (museo interdisciplinare) alla Dott.ssa Rita Insolia;</w:t>
      </w:r>
    </w:p>
    <w:p>
      <w:pPr>
        <w:pStyle w:val="Rigadintestazione"/>
        <w:jc w:val="both"/>
        <w:rPr>
          <w:rFonts w:ascii="Times New Roman" w:hAnsi="Times New Roman"/>
        </w:rPr>
      </w:pPr>
      <w:r>
        <w:rPr>
          <w:rFonts w:cs="Times New Roman" w:ascii="Times New Roman" w:hAnsi="Times New Roman"/>
          <w:b/>
          <w:bCs/>
          <w:color w:val="000000"/>
          <w:kern w:val="0"/>
          <w:sz w:val="22"/>
          <w:szCs w:val="22"/>
          <w:lang w:eastAsia="it-IT"/>
        </w:rPr>
        <w:t>VISTO</w:t>
      </w:r>
      <w:r>
        <w:rPr>
          <w:rFonts w:cs="Times New Roman" w:ascii="Times New Roman" w:hAnsi="Times New Roman"/>
          <w:b w:val="false"/>
          <w:bCs/>
          <w:color w:val="000000"/>
          <w:kern w:val="0"/>
          <w:sz w:val="22"/>
          <w:szCs w:val="22"/>
          <w:lang w:eastAsia="it-IT"/>
        </w:rPr>
        <w:t xml:space="preserve"> il D.D.G. n° 890 del 18/02/2025 con il quale il Dirigente Generale Ing. Mario La Rocca, delega alla firma degli atti di competenza in ordine alle funzioni assegnate allo stesso Dirigente Generale dall'art. 7, comma 1, L.R. 10/2000 lettera f, conferisce alla scrivente, Dirigente Responsabile del S28 – Galleria Regionale di Palazzo Bellomo (museo interdisciplinare) i poteri di spesa e di acquisizione delle entrate per il capitolo di spesa della rubrica di bilancio del Dipartimento BB.CC. ed I.S. assegnati;</w:t>
      </w:r>
    </w:p>
    <w:p>
      <w:pPr>
        <w:pStyle w:val="Normal"/>
        <w:tabs>
          <w:tab w:val="clear" w:pos="720"/>
          <w:tab w:val="center" w:pos="4819" w:leader="none"/>
          <w:tab w:val="right" w:pos="9638" w:leader="none"/>
        </w:tabs>
        <w:jc w:val="both"/>
        <w:rPr>
          <w:rFonts w:ascii="Times New Roman" w:hAnsi="Times New Roman"/>
          <w:sz w:val="22"/>
          <w:szCs w:val="22"/>
        </w:rPr>
      </w:pPr>
      <w:r>
        <w:rPr>
          <w:rFonts w:ascii="Times New Roman" w:hAnsi="Times New Roman"/>
          <w:b/>
          <w:bCs/>
          <w:sz w:val="22"/>
          <w:szCs w:val="22"/>
        </w:rPr>
        <w:t>RITENUTO CHE</w:t>
      </w:r>
      <w:r>
        <w:rPr>
          <w:rFonts w:ascii="Times New Roman" w:hAnsi="Times New Roman"/>
          <w:sz w:val="22"/>
          <w:szCs w:val="22"/>
        </w:rPr>
        <w:t xml:space="preserve"> ai sensi dell'art. 98 comma 6 della L. R. 7 maggio 2015 n. 9, il presente provvedimento è soggetto alla pubblicazione, per esteso sul sito internet della Regione Siciliana, entro il termine perentorio di 7 giorni dalla data di emissione, a pena di nullità dello stesso;</w:t>
      </w:r>
    </w:p>
    <w:p>
      <w:pPr>
        <w:pStyle w:val="Normal"/>
        <w:tabs>
          <w:tab w:val="clear" w:pos="720"/>
          <w:tab w:val="center" w:pos="4819" w:leader="none"/>
          <w:tab w:val="right" w:pos="9638" w:leader="none"/>
        </w:tabs>
        <w:jc w:val="both"/>
        <w:rPr>
          <w:rFonts w:ascii="Times New Roman" w:hAnsi="Times New Roman"/>
          <w:sz w:val="22"/>
          <w:szCs w:val="22"/>
        </w:rPr>
      </w:pPr>
      <w:r>
        <w:rPr>
          <w:rFonts w:ascii="Times New Roman" w:hAnsi="Times New Roman"/>
          <w:b/>
          <w:bCs/>
          <w:sz w:val="22"/>
          <w:szCs w:val="22"/>
        </w:rPr>
        <w:t>VISTA</w:t>
      </w:r>
      <w:r>
        <w:rPr>
          <w:rFonts w:ascii="Times New Roman" w:hAnsi="Times New Roman"/>
          <w:sz w:val="22"/>
          <w:szCs w:val="22"/>
        </w:rPr>
        <w:t xml:space="preserve"> la Legge regionale n. 2 del 22 febbraio 2023 recante “Legge di stabilità regionale 2023-2025” pubblicata sulla GURS n. 9 del 01/03/2023; </w:t>
      </w:r>
    </w:p>
    <w:p>
      <w:pPr>
        <w:pStyle w:val="Normal"/>
        <w:tabs>
          <w:tab w:val="clear" w:pos="720"/>
          <w:tab w:val="center" w:pos="4819" w:leader="none"/>
          <w:tab w:val="right" w:pos="9638" w:leader="none"/>
        </w:tabs>
        <w:jc w:val="both"/>
        <w:rPr>
          <w:rFonts w:ascii="Times New Roman" w:hAnsi="Times New Roman"/>
          <w:sz w:val="22"/>
          <w:szCs w:val="22"/>
        </w:rPr>
      </w:pPr>
      <w:r>
        <w:rPr>
          <w:rFonts w:ascii="Times New Roman" w:hAnsi="Times New Roman"/>
          <w:b/>
          <w:bCs/>
          <w:sz w:val="22"/>
          <w:szCs w:val="22"/>
        </w:rPr>
        <w:t xml:space="preserve">VISTA </w:t>
      </w:r>
      <w:r>
        <w:rPr>
          <w:rFonts w:ascii="Times New Roman" w:hAnsi="Times New Roman"/>
          <w:sz w:val="22"/>
          <w:szCs w:val="22"/>
        </w:rPr>
        <w:t xml:space="preserve">la Legge regionale n. 3 del 22 febbraio 2023 recante “Bilancio di previsione della Regione siciliana per il triennio 2023-2025”; </w:t>
      </w:r>
    </w:p>
    <w:p>
      <w:pPr>
        <w:pStyle w:val="Normal"/>
        <w:tabs>
          <w:tab w:val="clear" w:pos="720"/>
          <w:tab w:val="center" w:pos="4819" w:leader="none"/>
          <w:tab w:val="right" w:pos="9638" w:leader="none"/>
        </w:tabs>
        <w:jc w:val="both"/>
        <w:rPr>
          <w:rFonts w:ascii="Times New Roman" w:hAnsi="Times New Roman"/>
          <w:sz w:val="22"/>
          <w:szCs w:val="22"/>
        </w:rPr>
      </w:pPr>
      <w:r>
        <w:rPr>
          <w:rFonts w:ascii="Times New Roman" w:hAnsi="Times New Roman"/>
          <w:sz w:val="22"/>
          <w:szCs w:val="22"/>
        </w:rPr>
      </w:r>
    </w:p>
    <w:p>
      <w:pPr>
        <w:pStyle w:val="Normal"/>
        <w:tabs>
          <w:tab w:val="clear" w:pos="720"/>
          <w:tab w:val="center" w:pos="4819" w:leader="none"/>
          <w:tab w:val="right" w:pos="9638" w:leader="none"/>
        </w:tabs>
        <w:jc w:val="both"/>
        <w:rPr>
          <w:rFonts w:ascii="Times New Roman" w:hAnsi="Times New Roman"/>
          <w:sz w:val="22"/>
          <w:szCs w:val="22"/>
        </w:rPr>
      </w:pPr>
      <w:r>
        <w:rPr>
          <w:rFonts w:ascii="Times New Roman" w:hAnsi="Times New Roman"/>
          <w:b/>
          <w:bCs/>
          <w:sz w:val="22"/>
          <w:szCs w:val="22"/>
        </w:rPr>
        <w:t>VISTA</w:t>
      </w:r>
      <w:r>
        <w:rPr>
          <w:rFonts w:ascii="Times New Roman" w:hAnsi="Times New Roman"/>
          <w:sz w:val="22"/>
          <w:szCs w:val="22"/>
        </w:rPr>
        <w:t xml:space="preserve"> la Deliberazione della Giunta Regionale n. 106 del 1 marzo 2023 “Bilancio di previsione della Regione Siciliana 2023/2025. Decreto legislativo 23 giugno 2011, n. 118, e successive modifiche ed integrazioni. Allegato 4/1 – 9.2. Approvazione del Documento tecnico di accompagnamento, Bilancio finanziario gestionale, Perimetro sanitario e Piano degli indicatori”; </w:t>
      </w:r>
    </w:p>
    <w:p>
      <w:pPr>
        <w:pStyle w:val="Normal"/>
        <w:tabs>
          <w:tab w:val="clear" w:pos="720"/>
          <w:tab w:val="center" w:pos="4819" w:leader="none"/>
          <w:tab w:val="right" w:pos="9638" w:leader="none"/>
        </w:tabs>
        <w:spacing w:lineRule="auto" w:line="240"/>
        <w:jc w:val="both"/>
        <w:rPr>
          <w:rFonts w:ascii="Times New Roman" w:hAnsi="Times New Roman"/>
          <w:sz w:val="22"/>
          <w:szCs w:val="22"/>
        </w:rPr>
      </w:pPr>
      <w:r>
        <w:rPr>
          <w:rFonts w:ascii="Times New Roman" w:hAnsi="Times New Roman"/>
          <w:b/>
          <w:bCs/>
          <w:sz w:val="22"/>
          <w:szCs w:val="22"/>
        </w:rPr>
        <w:t>VISTO</w:t>
      </w:r>
      <w:r>
        <w:rPr>
          <w:rFonts w:ascii="Times New Roman" w:hAnsi="Times New Roman"/>
          <w:sz w:val="22"/>
          <w:szCs w:val="22"/>
        </w:rPr>
        <w:t xml:space="preserve"> il </w:t>
      </w:r>
      <w:r>
        <w:rPr>
          <w:rFonts w:ascii="Times New Roman" w:hAnsi="Times New Roman"/>
          <w:b/>
          <w:bCs/>
          <w:sz w:val="22"/>
          <w:szCs w:val="22"/>
        </w:rPr>
        <w:t>D.R.S. n. 6100 dell’ 11/12/2024 e il D.R.S. n. 6556 di integrazione del 24.12.2024</w:t>
      </w:r>
      <w:r>
        <w:rPr>
          <w:rFonts w:ascii="Times New Roman" w:hAnsi="Times New Roman"/>
          <w:sz w:val="22"/>
          <w:szCs w:val="22"/>
        </w:rPr>
        <w:t xml:space="preserve"> con i quali è stata impegnata definitivamente </w:t>
      </w:r>
      <w:r>
        <w:rPr>
          <w:rFonts w:cs="Times New Roman" w:ascii="Times New Roman" w:hAnsi="Times New Roman"/>
          <w:color w:val="000000"/>
          <w:sz w:val="22"/>
          <w:szCs w:val="22"/>
        </w:rPr>
        <w:t xml:space="preserve">la somma </w:t>
      </w:r>
      <w:r>
        <w:rPr>
          <w:rFonts w:cs="Times New Roman" w:ascii="Times New Roman" w:hAnsi="Times New Roman"/>
          <w:b w:val="false"/>
          <w:color w:val="000000"/>
          <w:sz w:val="22"/>
          <w:szCs w:val="22"/>
        </w:rPr>
        <w:t xml:space="preserve">complessiva di </w:t>
      </w:r>
      <w:r>
        <w:rPr>
          <w:rFonts w:cs="Times New Roman" w:ascii="Times New Roman" w:hAnsi="Times New Roman"/>
          <w:b/>
          <w:bCs/>
          <w:color w:val="000000"/>
          <w:sz w:val="22"/>
          <w:szCs w:val="22"/>
        </w:rPr>
        <w:t xml:space="preserve"> € 7.137,00 IVA compresa</w:t>
      </w:r>
      <w:r>
        <w:rPr>
          <w:rFonts w:cs="Times New Roman" w:ascii="Times New Roman" w:hAnsi="Times New Roman"/>
          <w:b w:val="false"/>
          <w:color w:val="000000"/>
          <w:sz w:val="22"/>
          <w:szCs w:val="22"/>
        </w:rPr>
        <w:t xml:space="preserve"> ripartita in </w:t>
      </w:r>
    </w:p>
    <w:p>
      <w:pPr>
        <w:pStyle w:val="Normal"/>
        <w:tabs>
          <w:tab w:val="clear" w:pos="720"/>
          <w:tab w:val="center" w:pos="4819" w:leader="none"/>
          <w:tab w:val="right" w:pos="9638" w:leader="none"/>
        </w:tabs>
        <w:spacing w:lineRule="auto" w:line="240"/>
        <w:jc w:val="both"/>
        <w:rPr>
          <w:rFonts w:ascii="Times New Roman" w:hAnsi="Times New Roman"/>
          <w:sz w:val="22"/>
          <w:szCs w:val="22"/>
        </w:rPr>
      </w:pPr>
      <w:r>
        <w:rPr>
          <w:rFonts w:cs="Times New Roman" w:ascii="Times New Roman" w:hAnsi="Times New Roman"/>
          <w:b w:val="false"/>
          <w:color w:val="000000"/>
          <w:sz w:val="22"/>
          <w:szCs w:val="22"/>
        </w:rPr>
        <w:t xml:space="preserve">- </w:t>
      </w:r>
      <w:r>
        <w:rPr>
          <w:rFonts w:cs="Times New Roman" w:ascii="Times New Roman" w:hAnsi="Times New Roman"/>
          <w:color w:val="000000"/>
          <w:sz w:val="22"/>
          <w:szCs w:val="22"/>
        </w:rPr>
        <w:t xml:space="preserve"> </w:t>
      </w:r>
      <w:r>
        <w:rPr>
          <w:rFonts w:cs="Times New Roman" w:ascii="Times New Roman" w:hAnsi="Times New Roman"/>
          <w:b/>
          <w:bCs/>
          <w:color w:val="000000"/>
          <w:sz w:val="22"/>
          <w:szCs w:val="22"/>
        </w:rPr>
        <w:t>€ 549,00 per l'E.F.2024;</w:t>
      </w:r>
    </w:p>
    <w:p>
      <w:pPr>
        <w:pStyle w:val="Normal"/>
        <w:tabs>
          <w:tab w:val="clear" w:pos="720"/>
          <w:tab w:val="center" w:pos="4819" w:leader="none"/>
          <w:tab w:val="right" w:pos="9638" w:leader="none"/>
        </w:tabs>
        <w:spacing w:lineRule="auto" w:line="240"/>
        <w:jc w:val="both"/>
        <w:rPr>
          <w:rFonts w:ascii="Times New Roman" w:hAnsi="Times New Roman"/>
          <w:sz w:val="22"/>
          <w:szCs w:val="22"/>
        </w:rPr>
      </w:pPr>
      <w:r>
        <w:rPr>
          <w:rFonts w:cs="Times New Roman" w:ascii="Times New Roman" w:hAnsi="Times New Roman"/>
          <w:b/>
          <w:bCs/>
          <w:color w:val="000000"/>
          <w:sz w:val="22"/>
          <w:szCs w:val="22"/>
        </w:rPr>
        <w:t xml:space="preserve">- </w:t>
      </w:r>
      <w:r>
        <w:rPr>
          <w:rFonts w:cs="Times New Roman" w:ascii="Times New Roman" w:hAnsi="Times New Roman"/>
          <w:bCs/>
          <w:color w:val="000000"/>
          <w:sz w:val="22"/>
          <w:szCs w:val="22"/>
        </w:rPr>
        <w:t xml:space="preserve">€ </w:t>
      </w:r>
      <w:r>
        <w:rPr>
          <w:rFonts w:cs="Times New Roman" w:ascii="Times New Roman" w:hAnsi="Times New Roman"/>
          <w:b/>
          <w:bCs/>
          <w:color w:val="000000"/>
          <w:sz w:val="22"/>
          <w:szCs w:val="22"/>
        </w:rPr>
        <w:t>6.588,00 per l’E.F. 2025</w:t>
      </w:r>
      <w:r>
        <w:rPr>
          <w:rFonts w:cs="Times New Roman" w:ascii="Times New Roman" w:hAnsi="Times New Roman"/>
          <w:b w:val="false"/>
          <w:bCs/>
          <w:color w:val="000000"/>
          <w:sz w:val="22"/>
          <w:szCs w:val="22"/>
        </w:rPr>
        <w:t>;</w:t>
      </w:r>
    </w:p>
    <w:p>
      <w:pPr>
        <w:pStyle w:val="Normal"/>
        <w:tabs>
          <w:tab w:val="clear" w:pos="720"/>
          <w:tab w:val="center" w:pos="4819" w:leader="none"/>
          <w:tab w:val="right" w:pos="9638" w:leader="none"/>
        </w:tabs>
        <w:spacing w:lineRule="auto" w:line="240"/>
        <w:jc w:val="both"/>
        <w:rPr>
          <w:rFonts w:ascii="Times New Roman" w:hAnsi="Times New Roman"/>
          <w:sz w:val="22"/>
          <w:szCs w:val="22"/>
        </w:rPr>
      </w:pPr>
      <w:r>
        <w:rPr>
          <w:rFonts w:ascii="Times New Roman" w:hAnsi="Times New Roman"/>
          <w:b/>
          <w:bCs/>
          <w:sz w:val="22"/>
          <w:szCs w:val="22"/>
        </w:rPr>
        <w:t xml:space="preserve">cod. P.E.C. </w:t>
      </w:r>
      <w:r>
        <w:rPr>
          <w:rFonts w:cs="Times New Roman" w:ascii="Times New Roman" w:hAnsi="Times New Roman"/>
          <w:b/>
          <w:bCs/>
          <w:sz w:val="22"/>
          <w:szCs w:val="22"/>
        </w:rPr>
        <w:t>U.1.03.02.10.001</w:t>
      </w:r>
      <w:r>
        <w:rPr>
          <w:rFonts w:ascii="Times New Roman" w:hAnsi="Times New Roman"/>
          <w:b/>
          <w:bCs/>
          <w:sz w:val="22"/>
          <w:szCs w:val="22"/>
        </w:rPr>
        <w:t xml:space="preserve"> - registrazione dalla ragioneria al n. 65 del’11/12/2024, </w:t>
      </w:r>
      <w:r>
        <w:rPr>
          <w:rFonts w:ascii="Times New Roman" w:hAnsi="Times New Roman"/>
          <w:sz w:val="22"/>
          <w:szCs w:val="22"/>
        </w:rPr>
        <w:t xml:space="preserve">a favore della ditta </w:t>
      </w:r>
      <w:r>
        <w:rPr>
          <w:rFonts w:cs="Times New Roman" w:ascii="Times New Roman" w:hAnsi="Times New Roman"/>
          <w:b w:val="false"/>
          <w:sz w:val="22"/>
          <w:szCs w:val="22"/>
        </w:rPr>
        <w:t xml:space="preserve">S.I. Servizi alle Imprese di Stracquadanio Maria Grazia &amp; C. S.A.S. con sede a Ragusa in via Palma di Montechiaro, 132 - P.IVA </w:t>
      </w:r>
      <w:r>
        <w:rPr>
          <w:rFonts w:eastAsia="NSimSun" w:cs="Times New Roman" w:ascii="Times New Roman" w:hAnsi="Times New Roman"/>
          <w:b w:val="false"/>
          <w:color w:val="auto"/>
          <w:kern w:val="2"/>
          <w:sz w:val="22"/>
          <w:szCs w:val="22"/>
          <w:lang w:val="it-IT" w:eastAsia="zh-CN" w:bidi="hi-IN"/>
        </w:rPr>
        <w:t>XXXXXXX</w:t>
      </w:r>
      <w:r>
        <w:rPr>
          <w:rFonts w:ascii="Times New Roman" w:hAnsi="Times New Roman"/>
          <w:sz w:val="22"/>
          <w:szCs w:val="22"/>
        </w:rPr>
        <w:t xml:space="preserve"> per</w:t>
      </w:r>
      <w:r>
        <w:rPr>
          <w:rFonts w:cs="Times New Roman" w:ascii="Times New Roman" w:hAnsi="Times New Roman"/>
          <w:b w:val="false"/>
          <w:sz w:val="22"/>
          <w:szCs w:val="22"/>
        </w:rPr>
        <w:t xml:space="preserve"> l’incarico esterno di RSPP presso il Servizio 28 – Galleria regionale di Palazzo Bellomo (museo interdisciplinare)</w:t>
      </w:r>
      <w:r>
        <w:rPr>
          <w:rFonts w:ascii="Times New Roman" w:hAnsi="Times New Roman"/>
          <w:sz w:val="22"/>
          <w:szCs w:val="22"/>
        </w:rPr>
        <w:t xml:space="preserve"> </w:t>
      </w:r>
      <w:r>
        <w:rPr>
          <w:rStyle w:val="CollegamentoInternet"/>
          <w:rFonts w:ascii="Times New Roman" w:hAnsi="Times New Roman"/>
          <w:color w:val="000000"/>
          <w:sz w:val="22"/>
          <w:szCs w:val="22"/>
          <w:u w:val="none"/>
        </w:rPr>
        <w:t>-</w:t>
      </w:r>
      <w:r>
        <w:rPr>
          <w:rFonts w:ascii="Times New Roman" w:hAnsi="Times New Roman"/>
          <w:bCs/>
          <w:sz w:val="22"/>
          <w:szCs w:val="22"/>
        </w:rPr>
        <w:t xml:space="preserve"> </w:t>
      </w:r>
      <w:r>
        <w:rPr>
          <w:rFonts w:ascii="Times New Roman" w:hAnsi="Times New Roman"/>
          <w:b/>
          <w:bCs/>
          <w:sz w:val="22"/>
          <w:szCs w:val="22"/>
        </w:rPr>
        <w:t>CIG B4A39FC0A5;</w:t>
      </w:r>
    </w:p>
    <w:p>
      <w:pPr>
        <w:pStyle w:val="Normal"/>
        <w:tabs>
          <w:tab w:val="clear" w:pos="720"/>
          <w:tab w:val="center" w:pos="4819" w:leader="none"/>
          <w:tab w:val="right" w:pos="9638" w:leader="none"/>
        </w:tabs>
        <w:snapToGrid w:val="false"/>
        <w:spacing w:lineRule="auto" w:line="240"/>
        <w:jc w:val="both"/>
        <w:rPr>
          <w:rFonts w:ascii="Times New Roman" w:hAnsi="Times New Roman"/>
          <w:sz w:val="22"/>
          <w:szCs w:val="22"/>
        </w:rPr>
      </w:pPr>
      <w:r>
        <w:rPr>
          <w:rFonts w:ascii="Times New Roman" w:hAnsi="Times New Roman"/>
          <w:b/>
          <w:bCs/>
          <w:sz w:val="22"/>
          <w:szCs w:val="22"/>
        </w:rPr>
        <w:t xml:space="preserve">VERIFICATO </w:t>
      </w:r>
      <w:r>
        <w:rPr>
          <w:rFonts w:ascii="Times New Roman" w:hAnsi="Times New Roman"/>
          <w:b w:val="false"/>
          <w:bCs w:val="false"/>
          <w:sz w:val="22"/>
          <w:szCs w:val="22"/>
        </w:rPr>
        <w:t xml:space="preserve">sulla piattaforma SCORE, che l'importo complessivo di </w:t>
      </w:r>
      <w:r>
        <w:rPr>
          <w:rFonts w:cs="Times New Roman" w:ascii="Times New Roman" w:hAnsi="Times New Roman"/>
          <w:b/>
          <w:bCs/>
          <w:color w:val="000000"/>
          <w:sz w:val="22"/>
          <w:szCs w:val="22"/>
        </w:rPr>
        <w:t xml:space="preserve">€ 7.137,00 IVA compresa </w:t>
      </w:r>
      <w:r>
        <w:rPr>
          <w:rFonts w:ascii="Times New Roman" w:hAnsi="Times New Roman"/>
          <w:b w:val="false"/>
          <w:bCs w:val="false"/>
          <w:sz w:val="22"/>
          <w:szCs w:val="22"/>
        </w:rPr>
        <w:t xml:space="preserve">è stato inserito fra gli impegni disposti sul Capitolo del Bilancio della Regione Siciliana Cap. 376613 – con il numero 65 -  </w:t>
      </w:r>
      <w:r>
        <w:rPr>
          <w:rFonts w:cs="Times New Roman" w:ascii="Times New Roman" w:hAnsi="Times New Roman"/>
          <w:b w:val="false"/>
          <w:bCs w:val="false"/>
          <w:color w:val="000000"/>
          <w:sz w:val="22"/>
          <w:szCs w:val="22"/>
        </w:rPr>
        <w:t>ripartiti in;</w:t>
      </w:r>
    </w:p>
    <w:p>
      <w:pPr>
        <w:pStyle w:val="Normal"/>
        <w:tabs>
          <w:tab w:val="clear" w:pos="720"/>
          <w:tab w:val="center" w:pos="4819" w:leader="none"/>
          <w:tab w:val="right" w:pos="9638" w:leader="none"/>
        </w:tabs>
        <w:snapToGrid w:val="false"/>
        <w:spacing w:lineRule="auto" w:line="240"/>
        <w:jc w:val="both"/>
        <w:rPr>
          <w:rFonts w:ascii="Times New Roman" w:hAnsi="Times New Roman"/>
          <w:sz w:val="22"/>
          <w:szCs w:val="22"/>
        </w:rPr>
      </w:pPr>
      <w:r>
        <w:rPr>
          <w:rFonts w:cs="Times New Roman" w:ascii="Times New Roman" w:hAnsi="Times New Roman"/>
          <w:b w:val="false"/>
          <w:bCs w:val="false"/>
          <w:color w:val="000000"/>
          <w:sz w:val="22"/>
          <w:szCs w:val="22"/>
        </w:rPr>
        <w:t xml:space="preserve">- </w:t>
      </w:r>
      <w:r>
        <w:rPr>
          <w:rFonts w:cs="Times New Roman" w:ascii="Times New Roman" w:hAnsi="Times New Roman"/>
          <w:b/>
          <w:bCs/>
          <w:color w:val="000000"/>
          <w:sz w:val="22"/>
          <w:szCs w:val="22"/>
        </w:rPr>
        <w:t xml:space="preserve">€ 549,00  per </w:t>
      </w:r>
      <w:r>
        <w:rPr>
          <w:rFonts w:ascii="Times New Roman" w:hAnsi="Times New Roman"/>
          <w:b/>
          <w:bCs/>
          <w:sz w:val="22"/>
          <w:szCs w:val="22"/>
        </w:rPr>
        <w:t xml:space="preserve">esercizio finanziario 2024 </w:t>
      </w:r>
      <w:r>
        <w:rPr>
          <w:rFonts w:ascii="Times New Roman" w:hAnsi="Times New Roman"/>
          <w:b w:val="false"/>
          <w:bCs w:val="false"/>
          <w:sz w:val="22"/>
          <w:szCs w:val="22"/>
        </w:rPr>
        <w:t>-</w:t>
      </w:r>
    </w:p>
    <w:p>
      <w:pPr>
        <w:pStyle w:val="Normal"/>
        <w:tabs>
          <w:tab w:val="clear" w:pos="720"/>
          <w:tab w:val="center" w:pos="4819" w:leader="none"/>
          <w:tab w:val="right" w:pos="9638" w:leader="none"/>
        </w:tabs>
        <w:snapToGrid w:val="false"/>
        <w:spacing w:lineRule="auto" w:line="240"/>
        <w:jc w:val="both"/>
        <w:rPr>
          <w:rFonts w:ascii="Times New Roman" w:hAnsi="Times New Roman"/>
          <w:sz w:val="22"/>
          <w:szCs w:val="22"/>
        </w:rPr>
      </w:pPr>
      <w:r>
        <w:rPr>
          <w:rFonts w:cs="Times New Roman" w:ascii="Times New Roman" w:hAnsi="Times New Roman"/>
          <w:b w:val="false"/>
          <w:bCs w:val="false"/>
          <w:color w:val="000000"/>
          <w:sz w:val="22"/>
          <w:szCs w:val="22"/>
        </w:rPr>
        <w:t xml:space="preserve">- </w:t>
      </w:r>
      <w:r>
        <w:rPr>
          <w:rFonts w:cs="Times New Roman" w:ascii="Times New Roman" w:hAnsi="Times New Roman"/>
          <w:b/>
          <w:bCs/>
          <w:color w:val="000000"/>
          <w:sz w:val="22"/>
          <w:szCs w:val="22"/>
        </w:rPr>
        <w:t>€ 6.588,00 per l’ esercizio finanziario 2025</w:t>
      </w:r>
      <w:r>
        <w:rPr>
          <w:rFonts w:ascii="Times New Roman" w:hAnsi="Times New Roman"/>
          <w:b/>
          <w:bCs/>
          <w:sz w:val="22"/>
          <w:szCs w:val="22"/>
        </w:rPr>
        <w:t xml:space="preserve">; </w:t>
      </w:r>
    </w:p>
    <w:p>
      <w:pPr>
        <w:pStyle w:val="Normal"/>
        <w:tabs>
          <w:tab w:val="clear" w:pos="720"/>
          <w:tab w:val="center" w:pos="4819" w:leader="none"/>
          <w:tab w:val="right" w:pos="9638" w:leader="none"/>
        </w:tabs>
        <w:spacing w:lineRule="auto" w:line="240"/>
        <w:jc w:val="both"/>
        <w:rPr>
          <w:rFonts w:ascii="Times New Roman" w:hAnsi="Times New Roman"/>
          <w:sz w:val="22"/>
          <w:szCs w:val="22"/>
        </w:rPr>
      </w:pPr>
      <w:r>
        <w:rPr>
          <w:rFonts w:ascii="Times New Roman" w:hAnsi="Times New Roman"/>
          <w:b/>
          <w:bCs/>
          <w:sz w:val="22"/>
          <w:szCs w:val="22"/>
        </w:rPr>
        <w:t xml:space="preserve">VISTA </w:t>
      </w:r>
      <w:r>
        <w:rPr>
          <w:rFonts w:ascii="Times New Roman" w:hAnsi="Times New Roman"/>
          <w:sz w:val="22"/>
          <w:szCs w:val="22"/>
        </w:rPr>
        <w:t xml:space="preserve">la relazione finale con attestazione di regolare esecuzione e nulla osta alla liquidazione relativamente al servizio reso dalla Ditta </w:t>
      </w:r>
      <w:r>
        <w:rPr>
          <w:rFonts w:cs="Times New Roman" w:ascii="Times New Roman" w:hAnsi="Times New Roman"/>
          <w:b w:val="false"/>
          <w:sz w:val="22"/>
          <w:szCs w:val="22"/>
        </w:rPr>
        <w:t xml:space="preserve">S.I. Servizi alle Imprese di Stracquadanio Maria Grazia &amp; C. S.A.S con sede a Ragusa in via Palma di Montechiaro, 132 - P.IVA </w:t>
      </w:r>
      <w:r>
        <w:rPr>
          <w:rFonts w:eastAsia="NSimSun" w:cs="Times New Roman" w:ascii="Times New Roman" w:hAnsi="Times New Roman"/>
          <w:b w:val="false"/>
          <w:color w:val="auto"/>
          <w:kern w:val="2"/>
          <w:sz w:val="22"/>
          <w:szCs w:val="22"/>
          <w:lang w:val="it-IT" w:eastAsia="zh-CN" w:bidi="hi-IN"/>
        </w:rPr>
        <w:t>XXXXXX</w:t>
      </w:r>
      <w:r>
        <w:rPr>
          <w:rFonts w:cs="Times New Roman" w:ascii="Times New Roman" w:hAnsi="Times New Roman"/>
          <w:b w:val="false"/>
          <w:sz w:val="22"/>
          <w:szCs w:val="22"/>
        </w:rPr>
        <w:t xml:space="preserve">, </w:t>
      </w:r>
      <w:r>
        <w:rPr>
          <w:rStyle w:val="CollegamentoInternet"/>
          <w:rFonts w:cs="Times New Roman" w:ascii="Times New Roman" w:hAnsi="Times New Roman"/>
          <w:b w:val="false"/>
          <w:bCs/>
          <w:color w:val="000000"/>
          <w:sz w:val="22"/>
          <w:szCs w:val="22"/>
          <w:u w:val="none"/>
        </w:rPr>
        <w:t>relativamente al servizio reso nel periodo</w:t>
      </w:r>
      <w:r>
        <w:rPr>
          <w:rStyle w:val="CollegamentoInternet"/>
          <w:rFonts w:cs="Times New Roman" w:ascii="Times New Roman" w:hAnsi="Times New Roman"/>
          <w:b/>
          <w:bCs/>
          <w:color w:val="000000"/>
          <w:sz w:val="22"/>
          <w:szCs w:val="22"/>
          <w:u w:val="none"/>
        </w:rPr>
        <w:t xml:space="preserve"> Dicembre 2024</w:t>
      </w:r>
    </w:p>
    <w:p>
      <w:pPr>
        <w:pStyle w:val="Normal"/>
        <w:tabs>
          <w:tab w:val="clear" w:pos="720"/>
          <w:tab w:val="center" w:pos="4819" w:leader="none"/>
          <w:tab w:val="right" w:pos="9638" w:leader="none"/>
        </w:tabs>
        <w:spacing w:lineRule="auto" w:line="240"/>
        <w:jc w:val="both"/>
        <w:rPr>
          <w:rFonts w:ascii="Times New Roman" w:hAnsi="Times New Roman"/>
          <w:sz w:val="22"/>
          <w:szCs w:val="22"/>
        </w:rPr>
      </w:pPr>
      <w:r>
        <w:rPr>
          <w:rFonts w:ascii="Times New Roman" w:hAnsi="Times New Roman"/>
          <w:b/>
          <w:bCs/>
          <w:sz w:val="22"/>
          <w:szCs w:val="22"/>
        </w:rPr>
        <w:t xml:space="preserve">VISTA </w:t>
      </w:r>
      <w:r>
        <w:rPr>
          <w:rFonts w:ascii="Times New Roman" w:hAnsi="Times New Roman"/>
          <w:bCs/>
          <w:sz w:val="22"/>
          <w:szCs w:val="22"/>
        </w:rPr>
        <w:t>la fattura</w:t>
      </w:r>
      <w:r>
        <w:rPr>
          <w:rFonts w:ascii="Times New Roman" w:hAnsi="Times New Roman"/>
          <w:b/>
          <w:bCs/>
          <w:sz w:val="22"/>
          <w:szCs w:val="22"/>
        </w:rPr>
        <w:t xml:space="preserve"> </w:t>
      </w:r>
      <w:r>
        <w:rPr>
          <w:rFonts w:ascii="Times New Roman" w:hAnsi="Times New Roman"/>
          <w:sz w:val="22"/>
          <w:szCs w:val="22"/>
        </w:rPr>
        <w:t xml:space="preserve">n. </w:t>
      </w:r>
      <w:r>
        <w:rPr>
          <w:rFonts w:eastAsia="NSimSun" w:cs="Arial" w:ascii="Times New Roman" w:hAnsi="Times New Roman"/>
          <w:color w:val="000000"/>
          <w:kern w:val="2"/>
          <w:sz w:val="22"/>
          <w:szCs w:val="22"/>
          <w:lang w:val="it-IT" w:eastAsia="zh-CN" w:bidi="hi-IN"/>
        </w:rPr>
        <w:t>2/PA del 26/02/2025</w:t>
      </w:r>
      <w:r>
        <w:rPr>
          <w:rFonts w:ascii="Times New Roman" w:hAnsi="Times New Roman"/>
          <w:color w:val="000000"/>
          <w:sz w:val="22"/>
          <w:szCs w:val="22"/>
        </w:rPr>
        <w:t xml:space="preserve"> </w:t>
      </w:r>
      <w:r>
        <w:rPr>
          <w:rFonts w:ascii="Times New Roman" w:hAnsi="Times New Roman"/>
          <w:sz w:val="22"/>
          <w:szCs w:val="22"/>
        </w:rPr>
        <w:t xml:space="preserve">di </w:t>
      </w:r>
      <w:r>
        <w:rPr>
          <w:rFonts w:ascii="Times New Roman" w:hAnsi="Times New Roman"/>
          <w:color w:val="000000"/>
          <w:sz w:val="22"/>
          <w:szCs w:val="22"/>
        </w:rPr>
        <w:t xml:space="preserve"> </w:t>
      </w:r>
      <w:r>
        <w:rPr>
          <w:rFonts w:ascii="Times New Roman" w:hAnsi="Times New Roman"/>
          <w:b/>
          <w:bCs/>
          <w:color w:val="000000"/>
          <w:sz w:val="22"/>
          <w:szCs w:val="22"/>
        </w:rPr>
        <w:t>€ 549,00</w:t>
      </w:r>
      <w:r>
        <w:rPr>
          <w:rFonts w:ascii="Times New Roman" w:hAnsi="Times New Roman"/>
          <w:b/>
          <w:bCs/>
          <w:sz w:val="22"/>
          <w:szCs w:val="22"/>
        </w:rPr>
        <w:t xml:space="preserve"> IVA compresa</w:t>
      </w:r>
      <w:r>
        <w:rPr>
          <w:rFonts w:ascii="Times New Roman" w:hAnsi="Times New Roman"/>
          <w:sz w:val="22"/>
          <w:szCs w:val="22"/>
        </w:rPr>
        <w:t>,</w:t>
      </w:r>
      <w:r>
        <w:rPr>
          <w:rFonts w:ascii="Times New Roman" w:hAnsi="Times New Roman"/>
          <w:b/>
          <w:bCs/>
          <w:sz w:val="22"/>
          <w:szCs w:val="22"/>
        </w:rPr>
        <w:t xml:space="preserve"> </w:t>
      </w:r>
      <w:r>
        <w:rPr>
          <w:rFonts w:ascii="Times New Roman" w:hAnsi="Times New Roman"/>
          <w:sz w:val="22"/>
          <w:szCs w:val="22"/>
        </w:rPr>
        <w:t>emessa</w:t>
      </w:r>
      <w:r>
        <w:rPr>
          <w:rFonts w:ascii="Times New Roman" w:hAnsi="Times New Roman"/>
          <w:bCs/>
          <w:sz w:val="22"/>
          <w:szCs w:val="22"/>
        </w:rPr>
        <w:t xml:space="preserve"> dalla suddetta ditta</w:t>
      </w:r>
      <w:r>
        <w:rPr>
          <w:rFonts w:ascii="Times New Roman" w:hAnsi="Times New Roman"/>
          <w:b/>
          <w:bCs/>
          <w:sz w:val="22"/>
          <w:szCs w:val="22"/>
        </w:rPr>
        <w:t xml:space="preserve"> </w:t>
      </w:r>
      <w:r>
        <w:rPr>
          <w:rFonts w:ascii="Times New Roman" w:hAnsi="Times New Roman"/>
          <w:sz w:val="22"/>
          <w:szCs w:val="22"/>
        </w:rPr>
        <w:t xml:space="preserve">per l’incarico di RSPP esterno al Servizio 28 -  Galleria Regionale di Palazzo Bellomo (museo interdisciplinare) </w:t>
      </w:r>
      <w:r>
        <w:rPr>
          <w:rStyle w:val="CollegamentoInternet"/>
          <w:rFonts w:ascii="Times New Roman" w:hAnsi="Times New Roman"/>
          <w:bCs/>
          <w:color w:val="000000"/>
          <w:sz w:val="22"/>
          <w:szCs w:val="22"/>
          <w:u w:val="none"/>
        </w:rPr>
        <w:t>relativamente al servizio reso nel periodo</w:t>
      </w:r>
      <w:r>
        <w:rPr>
          <w:rStyle w:val="CollegamentoInternet"/>
          <w:rFonts w:ascii="Times New Roman" w:hAnsi="Times New Roman"/>
          <w:b/>
          <w:bCs/>
          <w:color w:val="000000"/>
          <w:sz w:val="22"/>
          <w:szCs w:val="22"/>
          <w:u w:val="none"/>
        </w:rPr>
        <w:t xml:space="preserve"> Dicembre 2024</w:t>
      </w:r>
      <w:r>
        <w:rPr>
          <w:rFonts w:ascii="Times New Roman" w:hAnsi="Times New Roman"/>
          <w:sz w:val="22"/>
          <w:szCs w:val="22"/>
        </w:rPr>
        <w:t>;</w:t>
      </w:r>
    </w:p>
    <w:p>
      <w:pPr>
        <w:pStyle w:val="Normal"/>
        <w:tabs>
          <w:tab w:val="clear" w:pos="720"/>
          <w:tab w:val="center" w:pos="4819" w:leader="none"/>
          <w:tab w:val="right" w:pos="9638" w:leader="none"/>
        </w:tabs>
        <w:spacing w:lineRule="auto" w:line="240"/>
        <w:jc w:val="both"/>
        <w:rPr>
          <w:rFonts w:ascii="Times New Roman" w:hAnsi="Times New Roman"/>
          <w:sz w:val="22"/>
          <w:szCs w:val="22"/>
        </w:rPr>
      </w:pPr>
      <w:r>
        <w:rPr>
          <w:rFonts w:ascii="Times New Roman" w:hAnsi="Times New Roman"/>
          <w:b/>
          <w:bCs/>
          <w:sz w:val="22"/>
          <w:szCs w:val="22"/>
        </w:rPr>
        <w:t xml:space="preserve">PRESO ATTO </w:t>
      </w:r>
      <w:r>
        <w:rPr>
          <w:rFonts w:ascii="Times New Roman" w:hAnsi="Times New Roman"/>
          <w:bCs/>
          <w:sz w:val="22"/>
          <w:szCs w:val="22"/>
        </w:rPr>
        <w:t xml:space="preserve">di quanto dispone la circolare n. 9 prot. n. 15223 del 18.03.2015 dell’Assessorato dell’Economia inerente alla scissione dei pagamenti, questa Amministrazione liquiderà alla ditta </w:t>
      </w:r>
      <w:r>
        <w:rPr>
          <w:rFonts w:cs="Times New Roman" w:ascii="Times New Roman" w:hAnsi="Times New Roman"/>
          <w:b w:val="false"/>
          <w:bCs/>
          <w:sz w:val="22"/>
          <w:szCs w:val="22"/>
        </w:rPr>
        <w:t>S.I. Servizi alle Imprese di Stracquadanio Maria Grazia &amp; C. S.A.S.</w:t>
      </w:r>
      <w:r>
        <w:rPr>
          <w:rFonts w:ascii="Times New Roman" w:hAnsi="Times New Roman"/>
          <w:bCs/>
          <w:sz w:val="22"/>
          <w:szCs w:val="22"/>
        </w:rPr>
        <w:t xml:space="preserve"> la sola parte relativa all'imponibile, pari ad </w:t>
      </w:r>
      <w:r>
        <w:rPr>
          <w:rFonts w:ascii="Times New Roman" w:hAnsi="Times New Roman"/>
          <w:b/>
          <w:bCs/>
          <w:sz w:val="22"/>
          <w:szCs w:val="22"/>
        </w:rPr>
        <w:t xml:space="preserve">€ 450,00 </w:t>
      </w:r>
      <w:r>
        <w:rPr>
          <w:rFonts w:ascii="Times New Roman" w:hAnsi="Times New Roman"/>
          <w:bCs/>
          <w:sz w:val="22"/>
          <w:szCs w:val="22"/>
        </w:rPr>
        <w:t xml:space="preserve">e accantonerà l'aliquota IVA pari ad </w:t>
      </w:r>
      <w:r>
        <w:rPr>
          <w:rFonts w:ascii="Times New Roman" w:hAnsi="Times New Roman"/>
          <w:b/>
          <w:bCs/>
          <w:sz w:val="22"/>
          <w:szCs w:val="22"/>
        </w:rPr>
        <w:t xml:space="preserve">€ 99,00 </w:t>
      </w:r>
      <w:r>
        <w:rPr>
          <w:rFonts w:ascii="Times New Roman" w:hAnsi="Times New Roman"/>
          <w:bCs/>
          <w:sz w:val="22"/>
          <w:szCs w:val="22"/>
        </w:rPr>
        <w:t xml:space="preserve">con versamento su apposito </w:t>
      </w:r>
      <w:r>
        <w:rPr>
          <w:rFonts w:ascii="Times New Roman" w:hAnsi="Times New Roman"/>
          <w:sz w:val="22"/>
          <w:szCs w:val="22"/>
        </w:rPr>
        <w:t>capo 10</w:t>
      </w:r>
    </w:p>
    <w:p>
      <w:pPr>
        <w:pStyle w:val="Normal"/>
        <w:tabs>
          <w:tab w:val="clear" w:pos="720"/>
          <w:tab w:val="center" w:pos="4819" w:leader="none"/>
          <w:tab w:val="right" w:pos="9638" w:leader="none"/>
        </w:tabs>
        <w:jc w:val="both"/>
        <w:rPr>
          <w:rFonts w:ascii="Times New Roman" w:hAnsi="Times New Roman"/>
          <w:sz w:val="22"/>
          <w:szCs w:val="22"/>
        </w:rPr>
      </w:pPr>
      <w:r>
        <w:rPr>
          <w:rFonts w:ascii="Times New Roman" w:hAnsi="Times New Roman"/>
          <w:b/>
          <w:bCs/>
          <w:sz w:val="22"/>
          <w:szCs w:val="22"/>
        </w:rPr>
        <w:t xml:space="preserve">VISTA </w:t>
      </w:r>
      <w:r>
        <w:rPr>
          <w:rFonts w:ascii="Times New Roman" w:hAnsi="Times New Roman"/>
          <w:sz w:val="22"/>
          <w:szCs w:val="22"/>
        </w:rPr>
        <w:t>la comunicazione del conto corrente dedicato ai contratti pubblici e l'impegno per la tracciabilità dei pagamenti ai sensi dell'art. 3, comma 7, della Legge n. 136/2010, contestualmente alla fotocopia del documento di identità del legale rappresentante;</w:t>
      </w:r>
    </w:p>
    <w:p>
      <w:pPr>
        <w:pStyle w:val="Normal"/>
        <w:tabs>
          <w:tab w:val="clear" w:pos="720"/>
          <w:tab w:val="center" w:pos="4819" w:leader="none"/>
          <w:tab w:val="right" w:pos="9638" w:leader="none"/>
        </w:tabs>
        <w:jc w:val="both"/>
        <w:rPr>
          <w:rFonts w:ascii="Times New Roman" w:hAnsi="Times New Roman"/>
          <w:sz w:val="22"/>
          <w:szCs w:val="22"/>
        </w:rPr>
      </w:pPr>
      <w:r>
        <w:rPr>
          <w:rFonts w:ascii="Times New Roman" w:hAnsi="Times New Roman"/>
          <w:b/>
          <w:bCs/>
          <w:sz w:val="22"/>
          <w:szCs w:val="22"/>
        </w:rPr>
        <w:t xml:space="preserve">VISTO </w:t>
      </w:r>
      <w:r>
        <w:rPr>
          <w:rFonts w:ascii="Times New Roman" w:hAnsi="Times New Roman"/>
          <w:sz w:val="22"/>
          <w:szCs w:val="22"/>
        </w:rPr>
        <w:t>il DURC con scadenza validità il</w:t>
      </w:r>
      <w:r>
        <w:rPr>
          <w:rFonts w:ascii="Times New Roman" w:hAnsi="Times New Roman"/>
          <w:color w:val="000000"/>
          <w:sz w:val="22"/>
          <w:szCs w:val="22"/>
        </w:rPr>
        <w:t xml:space="preserve"> </w:t>
      </w:r>
      <w:r>
        <w:rPr>
          <w:rFonts w:eastAsia="NSimSun" w:cs="Arial" w:ascii="Times New Roman" w:hAnsi="Times New Roman"/>
          <w:b/>
          <w:bCs/>
          <w:color w:val="000000"/>
          <w:kern w:val="2"/>
          <w:sz w:val="22"/>
          <w:szCs w:val="22"/>
          <w:lang w:val="it-IT" w:eastAsia="zh-CN" w:bidi="hi-IN"/>
        </w:rPr>
        <w:t>02/07/2025;</w:t>
      </w:r>
    </w:p>
    <w:p>
      <w:pPr>
        <w:pStyle w:val="Normal"/>
        <w:tabs>
          <w:tab w:val="clear" w:pos="720"/>
          <w:tab w:val="center" w:pos="4819" w:leader="none"/>
          <w:tab w:val="right" w:pos="9638" w:leader="none"/>
        </w:tabs>
        <w:jc w:val="both"/>
        <w:rPr>
          <w:rFonts w:ascii="Times New Roman" w:hAnsi="Times New Roman"/>
          <w:sz w:val="22"/>
          <w:szCs w:val="22"/>
        </w:rPr>
      </w:pPr>
      <w:r>
        <w:rPr>
          <w:rFonts w:ascii="Times New Roman" w:hAnsi="Times New Roman"/>
          <w:b/>
          <w:bCs/>
          <w:color w:val="000000"/>
          <w:sz w:val="22"/>
          <w:szCs w:val="22"/>
        </w:rPr>
        <w:t>ACCERTATO</w:t>
      </w:r>
      <w:r>
        <w:rPr>
          <w:rFonts w:ascii="Times New Roman" w:hAnsi="Times New Roman"/>
          <w:color w:val="000000"/>
          <w:sz w:val="22"/>
          <w:szCs w:val="22"/>
        </w:rPr>
        <w:t xml:space="preserve"> che il pagamento in questione non rientra nella casistica prevista dal D.P.R. 29 settembre1973, n. 602 art. 48 bis ai fini dell’adempimento dell'obbligo di versamento derivante dalla notifica di Equitalia di una o più cartelle di pagamento per un ammontare complessivo pari o superiore ad euro 5.000,00;</w:t>
      </w:r>
    </w:p>
    <w:p>
      <w:pPr>
        <w:pStyle w:val="Normal"/>
        <w:tabs>
          <w:tab w:val="clear" w:pos="720"/>
          <w:tab w:val="center" w:pos="4819" w:leader="none"/>
          <w:tab w:val="right" w:pos="9638" w:leader="none"/>
        </w:tabs>
        <w:snapToGrid w:val="false"/>
        <w:jc w:val="both"/>
        <w:rPr>
          <w:rFonts w:ascii="Times New Roman" w:hAnsi="Times New Roman"/>
          <w:sz w:val="22"/>
          <w:szCs w:val="22"/>
        </w:rPr>
      </w:pPr>
      <w:r>
        <w:rPr>
          <w:rFonts w:ascii="Times New Roman" w:hAnsi="Times New Roman"/>
          <w:b/>
          <w:bCs/>
          <w:color w:val="000000"/>
          <w:sz w:val="22"/>
          <w:szCs w:val="22"/>
        </w:rPr>
        <w:t>ACCERTATO</w:t>
      </w:r>
      <w:r>
        <w:rPr>
          <w:rFonts w:ascii="Times New Roman" w:hAnsi="Times New Roman"/>
          <w:color w:val="000000"/>
          <w:sz w:val="22"/>
          <w:szCs w:val="22"/>
        </w:rPr>
        <w:t xml:space="preserve"> che i documenti di spesa prodotti sono formalmente e sostanzialmente corretti e conformi alla legge, compresa quella di natura fiscale;</w:t>
      </w:r>
    </w:p>
    <w:p>
      <w:pPr>
        <w:pStyle w:val="Normal"/>
        <w:tabs>
          <w:tab w:val="clear" w:pos="720"/>
          <w:tab w:val="center" w:pos="4819" w:leader="none"/>
          <w:tab w:val="right" w:pos="9638" w:leader="none"/>
        </w:tabs>
        <w:snapToGrid w:val="false"/>
        <w:jc w:val="both"/>
        <w:rPr>
          <w:rFonts w:ascii="Times New Roman" w:hAnsi="Times New Roman"/>
          <w:sz w:val="22"/>
          <w:szCs w:val="22"/>
        </w:rPr>
      </w:pPr>
      <w:r>
        <w:rPr>
          <w:rFonts w:ascii="Times New Roman" w:hAnsi="Times New Roman"/>
          <w:b/>
          <w:bCs/>
          <w:color w:val="000000"/>
          <w:sz w:val="22"/>
          <w:szCs w:val="22"/>
        </w:rPr>
        <w:t>ACCERTATA</w:t>
      </w:r>
      <w:r>
        <w:rPr>
          <w:rFonts w:ascii="Times New Roman" w:hAnsi="Times New Roman"/>
          <w:bCs/>
          <w:color w:val="000000"/>
          <w:sz w:val="22"/>
          <w:szCs w:val="22"/>
        </w:rPr>
        <w:t xml:space="preserve"> la regolarità della documentazione, che comprova il diritto del creditore e la  rispondenza della stessa ai termini e alle condizioni pattuite;</w:t>
      </w:r>
    </w:p>
    <w:p>
      <w:pPr>
        <w:pStyle w:val="Normal"/>
        <w:tabs>
          <w:tab w:val="clear" w:pos="720"/>
          <w:tab w:val="center" w:pos="4819" w:leader="none"/>
          <w:tab w:val="right" w:pos="9638" w:leader="none"/>
        </w:tabs>
        <w:snapToGrid w:val="false"/>
        <w:jc w:val="both"/>
        <w:rPr>
          <w:rFonts w:ascii="Times New Roman" w:hAnsi="Times New Roman"/>
          <w:sz w:val="22"/>
          <w:szCs w:val="22"/>
        </w:rPr>
      </w:pPr>
      <w:r>
        <w:rPr>
          <w:rFonts w:cs="Times New Roman" w:ascii="Times New Roman" w:hAnsi="Times New Roman"/>
          <w:b/>
          <w:bCs/>
          <w:color w:val="000000"/>
          <w:sz w:val="22"/>
          <w:szCs w:val="22"/>
        </w:rPr>
        <w:t xml:space="preserve">VISTO </w:t>
      </w:r>
      <w:r>
        <w:rPr>
          <w:rFonts w:eastAsia="Times New Roman" w:cs="Times New Roman" w:ascii="Times New Roman" w:hAnsi="Times New Roman"/>
          <w:b/>
          <w:bCs/>
          <w:color w:val="000000"/>
          <w:sz w:val="22"/>
          <w:szCs w:val="22"/>
          <w:lang w:eastAsia="it-IT" w:bidi="ar-SA"/>
        </w:rPr>
        <w:t xml:space="preserve">il D.D.G nr. </w:t>
      </w:r>
      <w:r>
        <w:rPr>
          <w:rFonts w:eastAsia="Times New Roman" w:cs="Times New Roman" w:ascii="Times New Roman" w:hAnsi="Times New Roman"/>
          <w:b/>
          <w:bCs/>
          <w:color w:val="auto"/>
          <w:kern w:val="2"/>
          <w:sz w:val="22"/>
          <w:szCs w:val="22"/>
          <w:lang w:val="it-IT" w:eastAsia="it-IT" w:bidi="ar-SA"/>
        </w:rPr>
        <w:t>861</w:t>
      </w:r>
      <w:r>
        <w:rPr>
          <w:rFonts w:eastAsia="Times New Roman" w:cs="Times New Roman" w:ascii="Times New Roman" w:hAnsi="Times New Roman"/>
          <w:b/>
          <w:bCs/>
          <w:color w:val="000000"/>
          <w:sz w:val="22"/>
          <w:szCs w:val="22"/>
          <w:lang w:eastAsia="it-IT" w:bidi="ar-SA"/>
        </w:rPr>
        <w:t xml:space="preserve"> del 30.04.2025</w:t>
      </w:r>
      <w:r>
        <w:rPr>
          <w:rFonts w:eastAsia="Times New Roman" w:cs="Times New Roman" w:ascii="Times New Roman" w:hAnsi="Times New Roman"/>
          <w:b w:val="false"/>
          <w:bCs/>
          <w:color w:val="000000"/>
          <w:sz w:val="22"/>
          <w:szCs w:val="22"/>
          <w:lang w:eastAsia="it-IT" w:bidi="ar-SA"/>
        </w:rPr>
        <w:t xml:space="preserve"> con il quale l'Assessorato Regionale dell'Economia Dipartimento Regionale Bilancio e Tesoro – Ragioneria Generale della Regione – ha proceduto al riaccertamento ordinario parziale dei residui passivi di nuova formazione;</w:t>
      </w:r>
    </w:p>
    <w:p>
      <w:pPr>
        <w:pStyle w:val="Rigadintestazione"/>
        <w:snapToGrid w:val="false"/>
        <w:jc w:val="both"/>
        <w:rPr>
          <w:bCs/>
          <w:color w:val="000000"/>
        </w:rPr>
      </w:pPr>
      <w:r>
        <w:rPr>
          <w:rFonts w:eastAsia="NSimSun" w:cs="Times New Roman" w:ascii="Times New Roman" w:hAnsi="Times New Roman"/>
          <w:b/>
          <w:bCs/>
          <w:color w:val="000000"/>
          <w:kern w:val="2"/>
          <w:sz w:val="22"/>
          <w:szCs w:val="22"/>
          <w:lang w:val="it-IT" w:eastAsia="ar-SA" w:bidi="hi-IN"/>
        </w:rPr>
        <w:t>RITENUTO</w:t>
      </w:r>
      <w:r>
        <w:rPr>
          <w:rFonts w:cs="Times New Roman" w:ascii="Times New Roman" w:hAnsi="Times New Roman"/>
          <w:b w:val="false"/>
          <w:bCs/>
          <w:color w:val="000000"/>
          <w:sz w:val="22"/>
          <w:szCs w:val="22"/>
          <w:lang w:eastAsia="ar-SA"/>
        </w:rPr>
        <w:t xml:space="preserve"> </w:t>
      </w:r>
      <w:r>
        <w:rPr>
          <w:rFonts w:eastAsia="Times New Roman" w:cs="Times New Roman" w:ascii="Times New Roman" w:hAnsi="Times New Roman"/>
          <w:b w:val="false"/>
          <w:bCs/>
          <w:color w:val="000000"/>
          <w:sz w:val="21"/>
          <w:szCs w:val="21"/>
          <w:lang w:eastAsia="it-IT" w:bidi="ar-SA"/>
        </w:rPr>
        <w:t>che ai sensi dell'art. 98 della L.R. 7 maggio 2015, n. 9, il presente provvedimento è soggetto alla pubblicazione, per esteso, nel sito internet della Regione Siciliana, a pena di nullità dell'atto, entro il termine perentorio di sette giorni dalla data di emissione dello stesso;</w:t>
      </w:r>
    </w:p>
    <w:p>
      <w:pPr>
        <w:pStyle w:val="Rigadintestazione"/>
        <w:snapToGrid w:val="false"/>
        <w:jc w:val="both"/>
        <w:rPr>
          <w:bCs/>
          <w:color w:val="000000"/>
        </w:rPr>
      </w:pPr>
      <w:r>
        <w:rPr>
          <w:rFonts w:cs="Times New Roman" w:ascii="Times New Roman" w:hAnsi="Times New Roman"/>
          <w:b w:val="false"/>
          <w:bCs/>
          <w:color w:val="000000"/>
          <w:sz w:val="22"/>
          <w:szCs w:val="22"/>
          <w:lang w:eastAsia="ar-SA"/>
        </w:rPr>
        <w:t xml:space="preserve">Per le motivazioni e finalità espresse in premessa e </w:t>
      </w:r>
      <w:r>
        <w:rPr>
          <w:rFonts w:cs="Times New Roman" w:ascii="Times New Roman" w:hAnsi="Times New Roman"/>
          <w:b w:val="false"/>
          <w:bCs/>
          <w:color w:val="000000"/>
          <w:sz w:val="21"/>
          <w:szCs w:val="21"/>
          <w:lang w:eastAsia="ar-SA"/>
        </w:rPr>
        <w:t>per l</w:t>
      </w:r>
      <w:r>
        <w:rPr>
          <w:rStyle w:val="CollegamentoInternet"/>
          <w:rFonts w:cs="Times New Roman" w:ascii="Times New Roman" w:hAnsi="Times New Roman"/>
          <w:b w:val="false"/>
          <w:bCs/>
          <w:color w:val="000000"/>
          <w:sz w:val="21"/>
          <w:szCs w:val="21"/>
          <w:u w:val="none"/>
          <w:lang w:eastAsia="ar-SA"/>
        </w:rPr>
        <w:t>’incarico esterno di RSPP</w:t>
      </w:r>
      <w:r>
        <w:rPr>
          <w:rStyle w:val="Nessuno"/>
          <w:rFonts w:cs="Arial" w:ascii="Times New Roman" w:hAnsi="Times New Roman"/>
          <w:b w:val="false"/>
          <w:bCs/>
          <w:color w:val="000000"/>
          <w:sz w:val="21"/>
          <w:szCs w:val="21"/>
          <w:u w:val="none"/>
          <w:shd w:fill="FFFFFF" w:val="clear"/>
          <w:lang w:val="it-IT" w:eastAsia="zh-CN" w:bidi="ar-SA"/>
        </w:rPr>
        <w:t xml:space="preserve"> p</w:t>
      </w:r>
      <w:r>
        <w:rPr>
          <w:rStyle w:val="Nessuno"/>
          <w:rFonts w:cs="Times New Roman" w:ascii="Times New Roman" w:hAnsi="Times New Roman"/>
          <w:b w:val="false"/>
          <w:bCs/>
          <w:color w:val="000000"/>
          <w:sz w:val="22"/>
          <w:szCs w:val="22"/>
          <w:u w:val="none"/>
          <w:shd w:fill="FFFFFF" w:val="clear"/>
          <w:lang w:val="it-IT" w:eastAsia="zh-CN" w:bidi="ar-SA"/>
        </w:rPr>
        <w:t>resso il Servizio 28 – Galleria regionale di Palazzo Bellomo (museo interdisciplinare)</w:t>
      </w:r>
      <w:r>
        <w:rPr>
          <w:rStyle w:val="CollegamentoInternet"/>
          <w:rFonts w:cs="Arial" w:ascii="Times New Roman" w:hAnsi="Times New Roman"/>
          <w:b w:val="false"/>
          <w:bCs/>
          <w:color w:val="000000"/>
          <w:sz w:val="22"/>
          <w:szCs w:val="22"/>
          <w:u w:val="none"/>
          <w:shd w:fill="FFFFFF" w:val="clear"/>
          <w:lang w:val="it-IT" w:eastAsia="zh-CN" w:bidi="ar-SA"/>
        </w:rPr>
        <w:t xml:space="preserve"> </w:t>
      </w:r>
      <w:r>
        <w:rPr>
          <w:rStyle w:val="Nessuno"/>
          <w:rFonts w:cs="Arial" w:ascii="Times New Roman" w:hAnsi="Times New Roman"/>
          <w:b w:val="false"/>
          <w:bCs/>
          <w:color w:val="000000"/>
          <w:sz w:val="21"/>
          <w:szCs w:val="21"/>
          <w:shd w:fill="FFFFFF" w:val="clear"/>
          <w:lang w:val="it-IT" w:eastAsia="zh-CN" w:bidi="ar-SA"/>
        </w:rPr>
        <w:t xml:space="preserve">per il periodo dal </w:t>
      </w:r>
      <w:r>
        <w:rPr>
          <w:rStyle w:val="Nessuno"/>
          <w:rFonts w:eastAsia="Times New Roman" w:cs="Arial" w:ascii="Times New Roman" w:hAnsi="Times New Roman"/>
          <w:b/>
          <w:bCs/>
          <w:color w:val="000000"/>
          <w:kern w:val="2"/>
          <w:sz w:val="21"/>
          <w:szCs w:val="21"/>
          <w:shd w:fill="FFFFFF" w:val="clear"/>
          <w:lang w:val="it-IT" w:eastAsia="zh-CN" w:bidi="ar-SA"/>
        </w:rPr>
        <w:t>01/12/2024 al 31/12/2024</w:t>
      </w:r>
      <w:r>
        <w:rPr>
          <w:rStyle w:val="CollegamentoInternet"/>
          <w:rFonts w:cs="Times New Roman" w:ascii="Times New Roman" w:hAnsi="Times New Roman"/>
          <w:b/>
          <w:bCs/>
          <w:color w:val="000000"/>
          <w:sz w:val="21"/>
          <w:szCs w:val="21"/>
          <w:u w:val="none"/>
          <w:lang w:eastAsia="ar-SA"/>
        </w:rPr>
        <w:t>-</w:t>
      </w:r>
      <w:r>
        <w:rPr>
          <w:rFonts w:cs="Times New Roman" w:ascii="Times New Roman" w:hAnsi="Times New Roman"/>
          <w:b w:val="false"/>
          <w:bCs/>
          <w:color w:val="000000"/>
          <w:sz w:val="21"/>
          <w:szCs w:val="21"/>
          <w:lang w:eastAsia="ar-SA"/>
        </w:rPr>
        <w:t xml:space="preserve"> </w:t>
      </w:r>
      <w:r>
        <w:rPr>
          <w:rFonts w:cs="TimesNewRomanPSMT;Times New Roman" w:ascii="Times New Roman" w:hAnsi="Times New Roman"/>
          <w:b w:val="false"/>
          <w:bCs/>
          <w:color w:val="000000"/>
          <w:kern w:val="0"/>
          <w:sz w:val="22"/>
          <w:szCs w:val="22"/>
          <w:lang w:eastAsia="it-IT"/>
        </w:rPr>
        <w:t>;</w:t>
      </w:r>
    </w:p>
    <w:p>
      <w:pPr>
        <w:pStyle w:val="Normal"/>
        <w:tabs>
          <w:tab w:val="clear" w:pos="720"/>
          <w:tab w:val="center" w:pos="4819" w:leader="none"/>
          <w:tab w:val="right" w:pos="9638" w:leader="none"/>
        </w:tabs>
        <w:snapToGrid w:val="false"/>
        <w:jc w:val="both"/>
        <w:rPr>
          <w:bCs/>
          <w:color w:val="000000"/>
        </w:rPr>
      </w:pPr>
      <w:r>
        <w:rPr>
          <w:bCs/>
          <w:color w:val="000000"/>
        </w:rPr>
      </w:r>
    </w:p>
    <w:p>
      <w:pPr>
        <w:pStyle w:val="Normal"/>
        <w:tabs>
          <w:tab w:val="clear" w:pos="720"/>
          <w:tab w:val="center" w:pos="4819" w:leader="none"/>
          <w:tab w:val="right" w:pos="9638" w:leader="none"/>
        </w:tabs>
        <w:snapToGrid w:val="false"/>
        <w:jc w:val="center"/>
        <w:rPr>
          <w:rFonts w:ascii="Times New Roman" w:hAnsi="Times New Roman"/>
          <w:sz w:val="22"/>
          <w:szCs w:val="22"/>
        </w:rPr>
      </w:pPr>
      <w:r>
        <w:rPr>
          <w:rFonts w:ascii="Times New Roman" w:hAnsi="Times New Roman"/>
          <w:bCs/>
          <w:color w:val="000000"/>
          <w:sz w:val="22"/>
          <w:szCs w:val="22"/>
        </w:rPr>
        <w:t>DECRETA</w:t>
      </w:r>
    </w:p>
    <w:p>
      <w:pPr>
        <w:pStyle w:val="Normal"/>
        <w:tabs>
          <w:tab w:val="clear" w:pos="720"/>
          <w:tab w:val="center" w:pos="4819" w:leader="none"/>
          <w:tab w:val="right" w:pos="9638" w:leader="none"/>
        </w:tabs>
        <w:snapToGrid w:val="false"/>
        <w:jc w:val="center"/>
        <w:rPr>
          <w:rFonts w:ascii="Times New Roman" w:hAnsi="Times New Roman"/>
          <w:sz w:val="22"/>
          <w:szCs w:val="22"/>
        </w:rPr>
      </w:pPr>
      <w:r>
        <w:rPr>
          <w:rFonts w:ascii="Times New Roman" w:hAnsi="Times New Roman"/>
          <w:sz w:val="22"/>
          <w:szCs w:val="22"/>
        </w:rPr>
      </w:r>
    </w:p>
    <w:p>
      <w:pPr>
        <w:pStyle w:val="Normal"/>
        <w:tabs>
          <w:tab w:val="clear" w:pos="720"/>
          <w:tab w:val="center" w:pos="4819" w:leader="none"/>
          <w:tab w:val="right" w:pos="9638" w:leader="none"/>
        </w:tabs>
        <w:snapToGrid w:val="false"/>
        <w:jc w:val="center"/>
        <w:rPr>
          <w:bCs/>
          <w:color w:val="000000"/>
        </w:rPr>
      </w:pPr>
      <w:r>
        <w:rPr>
          <w:bCs/>
          <w:color w:val="000000"/>
        </w:rPr>
      </w:r>
    </w:p>
    <w:p>
      <w:pPr>
        <w:pStyle w:val="Normal"/>
        <w:tabs>
          <w:tab w:val="clear" w:pos="720"/>
          <w:tab w:val="center" w:pos="4819" w:leader="none"/>
          <w:tab w:val="right" w:pos="9638" w:leader="none"/>
        </w:tabs>
        <w:snapToGrid w:val="false"/>
        <w:jc w:val="both"/>
        <w:rPr>
          <w:rFonts w:ascii="Times New Roman" w:hAnsi="Times New Roman"/>
          <w:sz w:val="22"/>
          <w:szCs w:val="22"/>
        </w:rPr>
      </w:pPr>
      <w:r>
        <w:rPr>
          <w:rFonts w:ascii="Times New Roman" w:hAnsi="Times New Roman"/>
          <w:bCs/>
          <w:color w:val="000000"/>
          <w:sz w:val="22"/>
          <w:szCs w:val="22"/>
        </w:rPr>
        <w:t xml:space="preserve">Art. 1) Per quanto sopra, si può procedere alla liquidazione, </w:t>
      </w:r>
      <w:r>
        <w:rPr>
          <w:rFonts w:eastAsia="Times New Roman" w:cs="Times New Roman" w:ascii="Times New Roman" w:hAnsi="Times New Roman"/>
          <w:b w:val="false"/>
          <w:bCs w:val="false"/>
          <w:color w:val="auto"/>
          <w:kern w:val="2"/>
          <w:sz w:val="22"/>
          <w:szCs w:val="22"/>
          <w:lang w:val="it-IT" w:eastAsia="zh-CN" w:bidi="ar-SA"/>
        </w:rPr>
        <w:t>già esigibile nell’</w:t>
      </w:r>
      <w:r>
        <w:rPr>
          <w:rFonts w:cs="Times New Roman" w:ascii="Times New Roman" w:hAnsi="Times New Roman"/>
          <w:b w:val="false"/>
          <w:bCs w:val="false"/>
          <w:color w:val="000000"/>
          <w:sz w:val="22"/>
          <w:szCs w:val="22"/>
        </w:rPr>
        <w:t xml:space="preserve">esercizio finanziario </w:t>
      </w:r>
      <w:r>
        <w:rPr>
          <w:rFonts w:eastAsia="Times New Roman" w:cs="Times New Roman" w:ascii="Times New Roman" w:hAnsi="Times New Roman"/>
          <w:b/>
          <w:bCs/>
          <w:color w:val="auto"/>
          <w:kern w:val="2"/>
          <w:sz w:val="22"/>
          <w:szCs w:val="22"/>
          <w:lang w:val="it-IT" w:eastAsia="zh-CN" w:bidi="ar-SA"/>
        </w:rPr>
        <w:t>2024</w:t>
      </w:r>
      <w:r>
        <w:rPr>
          <w:rFonts w:cs="Times New Roman" w:ascii="Times New Roman" w:hAnsi="Times New Roman"/>
          <w:b w:val="false"/>
          <w:bCs w:val="false"/>
          <w:color w:val="000000"/>
          <w:sz w:val="22"/>
          <w:szCs w:val="22"/>
        </w:rPr>
        <w:t>,</w:t>
      </w:r>
      <w:r>
        <w:rPr>
          <w:rFonts w:ascii="Times New Roman" w:hAnsi="Times New Roman"/>
          <w:bCs/>
          <w:color w:val="000000"/>
          <w:sz w:val="22"/>
          <w:szCs w:val="22"/>
        </w:rPr>
        <w:t xml:space="preserve"> </w:t>
      </w:r>
      <w:r>
        <w:rPr>
          <w:rFonts w:ascii="Times New Roman" w:hAnsi="Times New Roman"/>
          <w:b/>
          <w:bCs/>
          <w:color w:val="000000"/>
          <w:sz w:val="22"/>
          <w:szCs w:val="22"/>
        </w:rPr>
        <w:t>cap. 376613</w:t>
      </w:r>
      <w:r>
        <w:rPr>
          <w:rFonts w:ascii="Times New Roman" w:hAnsi="Times New Roman"/>
          <w:bCs/>
          <w:color w:val="000000"/>
          <w:sz w:val="22"/>
          <w:szCs w:val="22"/>
        </w:rPr>
        <w:t xml:space="preserve"> – </w:t>
      </w:r>
      <w:r>
        <w:rPr>
          <w:rFonts w:ascii="Times New Roman" w:hAnsi="Times New Roman"/>
          <w:b/>
          <w:bCs/>
          <w:color w:val="000000"/>
          <w:sz w:val="22"/>
          <w:szCs w:val="22"/>
        </w:rPr>
        <w:t>cod. P.F.C. U.1.03.02.09.001</w:t>
      </w:r>
      <w:r>
        <w:rPr>
          <w:rFonts w:ascii="Times New Roman" w:hAnsi="Times New Roman"/>
          <w:bCs/>
          <w:color w:val="000000"/>
          <w:sz w:val="22"/>
          <w:szCs w:val="22"/>
        </w:rPr>
        <w:t>,</w:t>
      </w:r>
      <w:r>
        <w:rPr>
          <w:rFonts w:ascii="Times New Roman" w:hAnsi="Times New Roman"/>
          <w:b/>
          <w:bCs/>
          <w:color w:val="000000"/>
          <w:sz w:val="22"/>
          <w:szCs w:val="22"/>
        </w:rPr>
        <w:t xml:space="preserve"> registrazione della ragioneria al n. 65 dell’11/12/2024,</w:t>
      </w:r>
      <w:r>
        <w:rPr>
          <w:rFonts w:ascii="Times New Roman" w:hAnsi="Times New Roman"/>
          <w:bCs/>
          <w:color w:val="000000"/>
          <w:sz w:val="22"/>
          <w:szCs w:val="22"/>
        </w:rPr>
        <w:t xml:space="preserve"> della fattura n. </w:t>
      </w:r>
      <w:r>
        <w:rPr>
          <w:rFonts w:ascii="Times New Roman" w:hAnsi="Times New Roman"/>
          <w:b/>
          <w:bCs/>
          <w:color w:val="000000"/>
          <w:sz w:val="22"/>
          <w:szCs w:val="22"/>
        </w:rPr>
        <w:t xml:space="preserve">FATTPA </w:t>
      </w:r>
      <w:r>
        <w:rPr>
          <w:rFonts w:eastAsia="NSimSun" w:cs="Arial" w:ascii="Times New Roman" w:hAnsi="Times New Roman"/>
          <w:b/>
          <w:bCs/>
          <w:color w:val="000000"/>
          <w:kern w:val="2"/>
          <w:sz w:val="22"/>
          <w:szCs w:val="22"/>
          <w:lang w:val="it-IT" w:eastAsia="zh-CN" w:bidi="hi-IN"/>
        </w:rPr>
        <w:t>2/PA</w:t>
      </w:r>
      <w:r>
        <w:rPr>
          <w:rFonts w:ascii="Times New Roman" w:hAnsi="Times New Roman"/>
          <w:b/>
          <w:bCs/>
          <w:color w:val="000000"/>
          <w:sz w:val="22"/>
          <w:szCs w:val="22"/>
        </w:rPr>
        <w:t xml:space="preserve"> del 2</w:t>
      </w:r>
      <w:r>
        <w:rPr>
          <w:rFonts w:eastAsia="NSimSun" w:cs="Arial" w:ascii="Times New Roman" w:hAnsi="Times New Roman"/>
          <w:b/>
          <w:bCs/>
          <w:color w:val="000000"/>
          <w:kern w:val="2"/>
          <w:sz w:val="22"/>
          <w:szCs w:val="22"/>
          <w:lang w:val="it-IT" w:eastAsia="zh-CN" w:bidi="hi-IN"/>
        </w:rPr>
        <w:t>6/02/2025</w:t>
      </w:r>
      <w:r>
        <w:rPr>
          <w:rFonts w:ascii="Times New Roman" w:hAnsi="Times New Roman"/>
          <w:b/>
          <w:bCs/>
          <w:color w:val="000000"/>
          <w:sz w:val="22"/>
          <w:szCs w:val="22"/>
        </w:rPr>
        <w:t xml:space="preserve"> di €</w:t>
      </w:r>
      <w:r>
        <w:rPr>
          <w:rFonts w:ascii="Times New Roman" w:hAnsi="Times New Roman"/>
          <w:b/>
          <w:bCs/>
          <w:color w:val="C9211E"/>
          <w:sz w:val="22"/>
          <w:szCs w:val="22"/>
        </w:rPr>
        <w:t xml:space="preserve"> </w:t>
      </w:r>
      <w:r>
        <w:rPr>
          <w:rFonts w:ascii="Times New Roman" w:hAnsi="Times New Roman"/>
          <w:b/>
          <w:bCs/>
          <w:color w:val="000000"/>
          <w:sz w:val="22"/>
          <w:szCs w:val="22"/>
        </w:rPr>
        <w:t>549,00</w:t>
      </w:r>
      <w:r>
        <w:rPr>
          <w:rFonts w:ascii="Times New Roman" w:hAnsi="Times New Roman"/>
          <w:bCs/>
          <w:color w:val="000000"/>
          <w:sz w:val="22"/>
          <w:szCs w:val="22"/>
        </w:rPr>
        <w:t xml:space="preserve"> IVA compresa,</w:t>
      </w:r>
      <w:r>
        <w:rPr>
          <w:rFonts w:ascii="Times New Roman" w:hAnsi="Times New Roman"/>
          <w:b/>
          <w:bCs/>
          <w:color w:val="000000"/>
          <w:sz w:val="22"/>
          <w:szCs w:val="22"/>
        </w:rPr>
        <w:t xml:space="preserve"> </w:t>
      </w:r>
      <w:r>
        <w:rPr>
          <w:rFonts w:ascii="Times New Roman" w:hAnsi="Times New Roman"/>
          <w:bCs/>
          <w:color w:val="000000"/>
          <w:sz w:val="22"/>
          <w:szCs w:val="22"/>
        </w:rPr>
        <w:t xml:space="preserve">emessa dalla ditta </w:t>
      </w:r>
      <w:r>
        <w:rPr>
          <w:rFonts w:cs="Times New Roman" w:ascii="Times New Roman" w:hAnsi="Times New Roman"/>
          <w:b w:val="false"/>
          <w:bCs/>
          <w:color w:val="000000"/>
          <w:sz w:val="22"/>
          <w:szCs w:val="22"/>
        </w:rPr>
        <w:t>S.I. Servizi alle Imprese di Stracquadanio Maria Grazia &amp; C. S.A.S.</w:t>
      </w:r>
      <w:r>
        <w:rPr>
          <w:rFonts w:ascii="Times New Roman" w:hAnsi="Times New Roman"/>
          <w:bCs/>
          <w:color w:val="000000"/>
          <w:sz w:val="22"/>
          <w:szCs w:val="22"/>
        </w:rPr>
        <w:t xml:space="preserve"> </w:t>
      </w:r>
      <w:r>
        <w:rPr>
          <w:rFonts w:cs="Times New Roman" w:ascii="Times New Roman" w:hAnsi="Times New Roman"/>
          <w:b w:val="false"/>
          <w:bCs/>
          <w:color w:val="000000"/>
          <w:sz w:val="22"/>
          <w:szCs w:val="22"/>
        </w:rPr>
        <w:t xml:space="preserve">con sede a Ragusa in via Palma di Montechiaro, 132 - P.IVA </w:t>
      </w:r>
      <w:r>
        <w:rPr>
          <w:rFonts w:eastAsia="NSimSun" w:cs="Times New Roman" w:ascii="Times New Roman" w:hAnsi="Times New Roman"/>
          <w:b w:val="false"/>
          <w:bCs/>
          <w:color w:val="000000"/>
          <w:kern w:val="2"/>
          <w:sz w:val="22"/>
          <w:szCs w:val="22"/>
          <w:lang w:val="it-IT" w:eastAsia="zh-CN" w:bidi="hi-IN"/>
        </w:rPr>
        <w:t>XXXXXXX</w:t>
      </w:r>
      <w:r>
        <w:rPr>
          <w:rFonts w:ascii="Times New Roman" w:hAnsi="Times New Roman"/>
          <w:bCs/>
          <w:color w:val="000000"/>
          <w:sz w:val="22"/>
          <w:szCs w:val="22"/>
        </w:rPr>
        <w:t xml:space="preserve"> per</w:t>
      </w:r>
      <w:r>
        <w:rPr>
          <w:rFonts w:cs="Times New Roman" w:ascii="Times New Roman" w:hAnsi="Times New Roman"/>
          <w:b w:val="false"/>
          <w:bCs/>
          <w:color w:val="000000"/>
          <w:sz w:val="22"/>
          <w:szCs w:val="22"/>
        </w:rPr>
        <w:t xml:space="preserve"> l’incarico esterno di RSPP presso il Servizio 28 – Galleria regionale di Palazzo Bellomo (museo interdisciplinare)</w:t>
      </w:r>
      <w:r>
        <w:rPr>
          <w:rStyle w:val="CollegamentoInternet"/>
          <w:rFonts w:ascii="Times New Roman" w:hAnsi="Times New Roman"/>
          <w:bCs/>
          <w:color w:val="000000"/>
          <w:sz w:val="22"/>
          <w:szCs w:val="22"/>
          <w:u w:val="none"/>
        </w:rPr>
        <w:t xml:space="preserve"> relativamente al servizio reso nel periodo</w:t>
      </w:r>
      <w:r>
        <w:rPr>
          <w:rStyle w:val="CollegamentoInternet"/>
          <w:rFonts w:ascii="Times New Roman" w:hAnsi="Times New Roman"/>
          <w:b/>
          <w:bCs/>
          <w:color w:val="000000"/>
          <w:sz w:val="22"/>
          <w:szCs w:val="22"/>
          <w:u w:val="none"/>
        </w:rPr>
        <w:t xml:space="preserve"> Dicembre 2024</w:t>
      </w:r>
      <w:r>
        <w:rPr>
          <w:rStyle w:val="CollegamentoInternet"/>
          <w:rFonts w:ascii="Times New Roman" w:hAnsi="Times New Roman"/>
          <w:bCs/>
          <w:color w:val="000000"/>
          <w:sz w:val="22"/>
          <w:szCs w:val="22"/>
          <w:u w:val="none"/>
        </w:rPr>
        <w:t xml:space="preserve"> -</w:t>
      </w:r>
      <w:r>
        <w:rPr>
          <w:rFonts w:ascii="Times New Roman" w:hAnsi="Times New Roman"/>
          <w:bCs/>
          <w:color w:val="000000"/>
          <w:sz w:val="22"/>
          <w:szCs w:val="22"/>
        </w:rPr>
        <w:t xml:space="preserve"> </w:t>
      </w:r>
      <w:r>
        <w:rPr>
          <w:rFonts w:ascii="Times New Roman" w:hAnsi="Times New Roman"/>
          <w:b/>
          <w:bCs/>
          <w:color w:val="000000"/>
          <w:sz w:val="22"/>
          <w:szCs w:val="22"/>
        </w:rPr>
        <w:t>CIG B4A39FC0A5;</w:t>
      </w:r>
    </w:p>
    <w:p>
      <w:pPr>
        <w:pStyle w:val="Normal"/>
        <w:tabs>
          <w:tab w:val="clear" w:pos="720"/>
          <w:tab w:val="center" w:pos="4819" w:leader="none"/>
          <w:tab w:val="right" w:pos="9638" w:leader="none"/>
        </w:tabs>
        <w:snapToGrid w:val="false"/>
        <w:jc w:val="both"/>
        <w:rPr>
          <w:rFonts w:ascii="Times New Roman" w:hAnsi="Times New Roman"/>
          <w:b w:val="false"/>
          <w:b w:val="false"/>
          <w:bCs w:val="false"/>
          <w:sz w:val="22"/>
          <w:szCs w:val="22"/>
        </w:rPr>
      </w:pPr>
      <w:r>
        <w:rPr>
          <w:rFonts w:ascii="Times New Roman" w:hAnsi="Times New Roman"/>
          <w:b w:val="false"/>
          <w:bCs w:val="false"/>
          <w:color w:val="000000"/>
          <w:sz w:val="22"/>
          <w:szCs w:val="22"/>
        </w:rPr>
        <w:t xml:space="preserve">Art. 2) Si dichiara che la somma per </w:t>
      </w:r>
      <w:r>
        <w:rPr>
          <w:rFonts w:cs="Times New Roman" w:ascii="Times New Roman" w:hAnsi="Times New Roman"/>
          <w:b w:val="false"/>
          <w:bCs/>
          <w:color w:val="000000"/>
          <w:sz w:val="22"/>
          <w:szCs w:val="22"/>
        </w:rPr>
        <w:t>l’incarico esterno di RSPP</w:t>
      </w:r>
      <w:r>
        <w:rPr>
          <w:rFonts w:ascii="Times New Roman" w:hAnsi="Times New Roman"/>
          <w:b w:val="false"/>
          <w:bCs w:val="false"/>
          <w:color w:val="000000"/>
          <w:sz w:val="22"/>
          <w:szCs w:val="22"/>
        </w:rPr>
        <w:t xml:space="preserve"> di cui sopra, </w:t>
      </w:r>
      <w:r>
        <w:rPr>
          <w:rFonts w:eastAsia="Times New Roman" w:cs="Times New Roman" w:ascii="Times New Roman" w:hAnsi="Times New Roman"/>
          <w:b w:val="false"/>
          <w:bCs w:val="false"/>
          <w:color w:val="auto"/>
          <w:kern w:val="2"/>
          <w:sz w:val="22"/>
          <w:szCs w:val="22"/>
          <w:lang w:val="it-IT" w:eastAsia="zh-CN" w:bidi="ar-SA"/>
        </w:rPr>
        <w:t>già esigibile nell’</w:t>
      </w:r>
      <w:r>
        <w:rPr>
          <w:rFonts w:cs="Times New Roman" w:ascii="Times New Roman" w:hAnsi="Times New Roman"/>
          <w:b w:val="false"/>
          <w:bCs w:val="false"/>
          <w:color w:val="000000"/>
          <w:sz w:val="22"/>
          <w:szCs w:val="22"/>
        </w:rPr>
        <w:t xml:space="preserve">esercizio finanziario </w:t>
      </w:r>
      <w:r>
        <w:rPr>
          <w:rFonts w:eastAsia="Times New Roman" w:cs="Times New Roman" w:ascii="Times New Roman" w:hAnsi="Times New Roman"/>
          <w:b/>
          <w:bCs/>
          <w:color w:val="auto"/>
          <w:kern w:val="2"/>
          <w:sz w:val="22"/>
          <w:szCs w:val="22"/>
          <w:lang w:val="it-IT" w:eastAsia="zh-CN" w:bidi="ar-SA"/>
        </w:rPr>
        <w:t>2024</w:t>
      </w:r>
      <w:r>
        <w:rPr>
          <w:rFonts w:cs="Times New Roman" w:ascii="Times New Roman" w:hAnsi="Times New Roman"/>
          <w:b w:val="false"/>
          <w:bCs w:val="false"/>
          <w:color w:val="000000"/>
          <w:sz w:val="22"/>
          <w:szCs w:val="22"/>
        </w:rPr>
        <w:t>,</w:t>
      </w:r>
      <w:r>
        <w:rPr>
          <w:rFonts w:ascii="Times New Roman" w:hAnsi="Times New Roman"/>
          <w:b w:val="false"/>
          <w:bCs w:val="false"/>
          <w:color w:val="000000"/>
          <w:sz w:val="22"/>
          <w:szCs w:val="22"/>
        </w:rPr>
        <w:t xml:space="preserve"> quindi liquidabile, e si provvederà alla liquidazione della stessa, mediante emissione di mandato diretto di pagamento, nelle modalità di seguito indicate:</w:t>
      </w:r>
    </w:p>
    <w:p>
      <w:pPr>
        <w:pStyle w:val="Normal"/>
        <w:tabs>
          <w:tab w:val="clear" w:pos="720"/>
          <w:tab w:val="center" w:pos="4819" w:leader="none"/>
          <w:tab w:val="right" w:pos="9638" w:leader="none"/>
        </w:tabs>
        <w:snapToGrid w:val="false"/>
        <w:jc w:val="both"/>
        <w:rPr>
          <w:rFonts w:ascii="Times New Roman" w:hAnsi="Times New Roman"/>
          <w:b w:val="false"/>
          <w:b w:val="false"/>
          <w:bCs w:val="false"/>
          <w:sz w:val="22"/>
          <w:szCs w:val="22"/>
        </w:rPr>
      </w:pPr>
      <w:r>
        <w:rPr>
          <w:rFonts w:ascii="Times New Roman" w:hAnsi="Times New Roman"/>
          <w:b w:val="false"/>
          <w:bCs w:val="false"/>
          <w:color w:val="000000"/>
          <w:sz w:val="22"/>
          <w:szCs w:val="22"/>
        </w:rPr>
        <w:t xml:space="preserve">Art. 3) Per la parte relativa all'imponibile pari a </w:t>
      </w:r>
      <w:r>
        <w:rPr>
          <w:rFonts w:ascii="Times New Roman" w:hAnsi="Times New Roman"/>
          <w:b/>
          <w:bCs/>
          <w:color w:val="000000"/>
          <w:sz w:val="22"/>
          <w:szCs w:val="22"/>
        </w:rPr>
        <w:t>€ 450.00 da</w:t>
      </w:r>
      <w:r>
        <w:rPr>
          <w:rFonts w:ascii="Times New Roman" w:hAnsi="Times New Roman"/>
          <w:b w:val="false"/>
          <w:bCs w:val="false"/>
          <w:color w:val="000000"/>
          <w:sz w:val="22"/>
          <w:szCs w:val="22"/>
        </w:rPr>
        <w:t xml:space="preserve"> accreditare sul conto corrente intrattenuto presso Istituto Intesa San Paolo agenzia di Ragusa -- </w:t>
      </w:r>
      <w:r>
        <w:rPr>
          <w:rFonts w:ascii="Times New Roman" w:hAnsi="Times New Roman"/>
          <w:b/>
          <w:bCs/>
          <w:color w:val="000000"/>
          <w:sz w:val="22"/>
          <w:szCs w:val="22"/>
        </w:rPr>
        <w:t xml:space="preserve">IBAN: </w:t>
      </w:r>
      <w:r>
        <w:rPr>
          <w:rFonts w:eastAsia="NSimSun" w:cs="Arial" w:ascii="Times New Roman" w:hAnsi="Times New Roman"/>
          <w:b/>
          <w:bCs/>
          <w:color w:val="000000"/>
          <w:kern w:val="2"/>
          <w:sz w:val="22"/>
          <w:szCs w:val="22"/>
          <w:lang w:val="it-IT" w:eastAsia="zh-CN" w:bidi="hi-IN"/>
        </w:rPr>
        <w:t>XXXXXXXXXXXXXXX</w:t>
      </w:r>
      <w:r>
        <w:rPr>
          <w:rFonts w:ascii="Times New Roman" w:hAnsi="Times New Roman"/>
          <w:b/>
          <w:bCs/>
          <w:color w:val="000000"/>
          <w:sz w:val="22"/>
          <w:szCs w:val="22"/>
        </w:rPr>
        <w:t>;</w:t>
      </w:r>
    </w:p>
    <w:p>
      <w:pPr>
        <w:pStyle w:val="Normal"/>
        <w:tabs>
          <w:tab w:val="clear" w:pos="720"/>
          <w:tab w:val="center" w:pos="4819" w:leader="none"/>
          <w:tab w:val="right" w:pos="9638" w:leader="none"/>
        </w:tabs>
        <w:snapToGrid w:val="false"/>
        <w:jc w:val="both"/>
        <w:rPr>
          <w:rFonts w:ascii="Times New Roman" w:hAnsi="Times New Roman"/>
          <w:b w:val="false"/>
          <w:b w:val="false"/>
          <w:bCs w:val="false"/>
          <w:sz w:val="22"/>
          <w:szCs w:val="22"/>
        </w:rPr>
      </w:pPr>
      <w:r>
        <w:rPr>
          <w:rFonts w:ascii="Times New Roman" w:hAnsi="Times New Roman"/>
          <w:b w:val="false"/>
          <w:bCs w:val="false"/>
          <w:color w:val="000000"/>
          <w:sz w:val="22"/>
          <w:szCs w:val="22"/>
        </w:rPr>
        <w:t xml:space="preserve">Art. 4) L'importo relativo all'IVA, pari ad </w:t>
      </w:r>
      <w:r>
        <w:rPr>
          <w:rFonts w:ascii="Times New Roman" w:hAnsi="Times New Roman"/>
          <w:b/>
          <w:bCs/>
          <w:color w:val="000000"/>
          <w:sz w:val="22"/>
          <w:szCs w:val="22"/>
        </w:rPr>
        <w:t xml:space="preserve"> € 99,00</w:t>
      </w:r>
      <w:r>
        <w:rPr>
          <w:rFonts w:ascii="Times New Roman" w:hAnsi="Times New Roman"/>
          <w:b w:val="false"/>
          <w:bCs w:val="false"/>
          <w:color w:val="000000"/>
          <w:sz w:val="22"/>
          <w:szCs w:val="22"/>
        </w:rPr>
        <w:t xml:space="preserve"> sarà versato sul capitolo in entrata 7500 capo 10;  </w:t>
      </w:r>
    </w:p>
    <w:p>
      <w:pPr>
        <w:pStyle w:val="Normal"/>
        <w:tabs>
          <w:tab w:val="clear" w:pos="720"/>
          <w:tab w:val="center" w:pos="4819" w:leader="none"/>
          <w:tab w:val="right" w:pos="9638" w:leader="none"/>
        </w:tabs>
        <w:snapToGrid w:val="false"/>
        <w:jc w:val="both"/>
        <w:rPr>
          <w:rFonts w:cs="Times New Roman"/>
          <w:bCs/>
          <w:color w:val="000000"/>
        </w:rPr>
      </w:pPr>
      <w:r>
        <w:rPr>
          <w:rFonts w:cs="Times New Roman"/>
          <w:bCs/>
          <w:color w:val="000000"/>
        </w:rPr>
      </w:r>
    </w:p>
    <w:p>
      <w:pPr>
        <w:pStyle w:val="Normal"/>
        <w:tabs>
          <w:tab w:val="clear" w:pos="720"/>
          <w:tab w:val="center" w:pos="4819" w:leader="none"/>
          <w:tab w:val="right" w:pos="9638" w:leader="none"/>
        </w:tabs>
        <w:snapToGrid w:val="false"/>
        <w:jc w:val="both"/>
        <w:rPr>
          <w:rFonts w:ascii="Times New Roman" w:hAnsi="Times New Roman"/>
          <w:b w:val="false"/>
          <w:b w:val="false"/>
          <w:bCs w:val="false"/>
          <w:sz w:val="22"/>
          <w:szCs w:val="22"/>
        </w:rPr>
      </w:pPr>
      <w:r>
        <w:rPr>
          <w:rFonts w:ascii="Times New Roman" w:hAnsi="Times New Roman"/>
          <w:b w:val="false"/>
          <w:bCs w:val="false"/>
          <w:color w:val="000000"/>
          <w:sz w:val="22"/>
          <w:szCs w:val="22"/>
        </w:rPr>
        <w:t>Il presente decreto sarà trasmesso alla Ragioneria Centrale di competenza per la registrazione ai sensi dell'articolo 9 della L.R. n. 9 del 15/04/2021 previa pubblicazione per esteso sul sito internt della Regione Siciliana ai sensi dell'art. 68 L.R. n. 21 del 12/08/2014, come modificato dall'art. 98 comma 6 della L.R. 7 maggio 2015 n. 9.</w:t>
      </w:r>
    </w:p>
    <w:p>
      <w:pPr>
        <w:pStyle w:val="Rigadintestazione"/>
        <w:jc w:val="both"/>
        <w:rPr>
          <w:rFonts w:cs="Times New Roman"/>
        </w:rPr>
      </w:pPr>
      <w:r>
        <w:rPr>
          <w:rFonts w:cs="Times New Roman"/>
        </w:rPr>
      </w:r>
    </w:p>
    <w:p>
      <w:pPr>
        <w:pStyle w:val="Normal"/>
        <w:tabs>
          <w:tab w:val="clear" w:pos="720"/>
          <w:tab w:val="center" w:pos="4819" w:leader="none"/>
          <w:tab w:val="right" w:pos="9638" w:leader="none"/>
        </w:tabs>
        <w:jc w:val="both"/>
        <w:rPr>
          <w:rFonts w:ascii="Times New Roman" w:hAnsi="Times New Roman" w:cs="Times New Roman"/>
          <w:b/>
          <w:b/>
          <w:sz w:val="22"/>
          <w:szCs w:val="22"/>
        </w:rPr>
      </w:pPr>
      <w:r>
        <w:rPr>
          <w:rFonts w:cs="Times New Roman" w:ascii="Times New Roman" w:hAnsi="Times New Roman"/>
          <w:b/>
          <w:sz w:val="22"/>
          <w:szCs w:val="22"/>
        </w:rPr>
      </w:r>
    </w:p>
    <w:p>
      <w:pPr>
        <w:pStyle w:val="Normal"/>
        <w:tabs>
          <w:tab w:val="clear" w:pos="720"/>
          <w:tab w:val="center" w:pos="4819" w:leader="none"/>
          <w:tab w:val="right" w:pos="9638" w:leader="none"/>
        </w:tabs>
        <w:jc w:val="both"/>
        <w:rPr>
          <w:rFonts w:ascii="Times New Roman" w:hAnsi="Times New Roman" w:cs="Times New Roman"/>
          <w:b/>
          <w:b/>
          <w:sz w:val="22"/>
          <w:szCs w:val="22"/>
        </w:rPr>
      </w:pPr>
      <w:r>
        <w:rPr>
          <w:rFonts w:cs="Times New Roman" w:ascii="Times New Roman" w:hAnsi="Times New Roman"/>
          <w:b/>
          <w:sz w:val="22"/>
          <w:szCs w:val="22"/>
        </w:rPr>
        <w:t>Siracusa lì 09/05/2025</w:t>
      </w:r>
    </w:p>
    <w:p>
      <w:pPr>
        <w:pStyle w:val="Normal"/>
        <w:rPr>
          <w:rFonts w:ascii="Times New Roman" w:hAnsi="Times New Roman" w:cs="Times New Roman"/>
          <w:b/>
          <w:b/>
          <w:sz w:val="22"/>
          <w:szCs w:val="22"/>
        </w:rPr>
      </w:pPr>
      <w:r>
        <w:rPr>
          <w:rFonts w:cs="Times New Roman" w:ascii="Times New Roman" w:hAnsi="Times New Roman"/>
          <w:b/>
          <w:sz w:val="22"/>
          <w:szCs w:val="22"/>
        </w:rPr>
        <w:t xml:space="preserve"> </w:t>
      </w:r>
      <w:r>
        <w:rPr>
          <w:rFonts w:cs="Times New Roman" w:ascii="Times New Roman" w:hAnsi="Times New Roman"/>
          <w:b/>
          <w:sz w:val="22"/>
          <w:szCs w:val="22"/>
        </w:rPr>
        <w:tab/>
        <w:t xml:space="preserve">                                                              </w:t>
      </w:r>
    </w:p>
    <w:p>
      <w:pPr>
        <w:pStyle w:val="Normal"/>
        <w:rPr>
          <w:rFonts w:ascii="Times New Roman" w:hAnsi="Times New Roman" w:cs="Times New Roman"/>
          <w:sz w:val="22"/>
          <w:szCs w:val="22"/>
        </w:rPr>
      </w:pPr>
      <w:r>
        <w:rPr>
          <w:rFonts w:cs="Times New Roman" w:ascii="Times New Roman" w:hAnsi="Times New Roman"/>
          <w:b/>
          <w:sz w:val="22"/>
          <w:szCs w:val="22"/>
        </w:rPr>
        <w:t xml:space="preserve">                                                              </w:t>
      </w:r>
      <w:r>
        <w:rPr>
          <w:rFonts w:cs="Times New Roman" w:ascii="Times New Roman" w:hAnsi="Times New Roman"/>
          <w:b/>
          <w:sz w:val="22"/>
          <w:szCs w:val="22"/>
        </w:rPr>
        <w:tab/>
        <w:tab/>
        <w:tab/>
        <w:tab/>
      </w:r>
      <w:r>
        <w:rPr>
          <w:rFonts w:cs="Times New Roman" w:ascii="Times New Roman" w:hAnsi="Times New Roman"/>
          <w:b/>
          <w:sz w:val="22"/>
          <w:szCs w:val="22"/>
        </w:rPr>
        <w:t>F.to</w:t>
      </w:r>
      <w:r>
        <w:rPr>
          <w:rFonts w:cs="Times New Roman" w:ascii="Times New Roman" w:hAnsi="Times New Roman"/>
          <w:b/>
          <w:sz w:val="22"/>
          <w:szCs w:val="22"/>
        </w:rPr>
        <w:t xml:space="preserve">     </w:t>
      </w:r>
      <w:r>
        <w:rPr>
          <w:rFonts w:cs="Times New Roman" w:ascii="Times New Roman" w:hAnsi="Times New Roman"/>
          <w:b/>
          <w:bCs/>
          <w:sz w:val="22"/>
          <w:szCs w:val="22"/>
        </w:rPr>
        <w:t xml:space="preserve">      IL DIRIGENTE</w:t>
      </w:r>
    </w:p>
    <w:p>
      <w:pPr>
        <w:pStyle w:val="Normal"/>
        <w:rPr>
          <w:rFonts w:ascii="Times New Roman" w:hAnsi="Times New Roman" w:cs="Times New Roman"/>
          <w:b/>
          <w:b/>
          <w:bCs/>
          <w:sz w:val="22"/>
          <w:szCs w:val="22"/>
        </w:rPr>
      </w:pPr>
      <w:r>
        <w:rPr>
          <w:rFonts w:cs="Times New Roman" w:ascii="Times New Roman" w:hAnsi="Times New Roman"/>
          <w:b/>
          <w:bCs/>
          <w:sz w:val="22"/>
          <w:szCs w:val="22"/>
        </w:rPr>
        <w:t xml:space="preserve"> </w:t>
      </w:r>
      <w:r>
        <w:rPr>
          <w:rFonts w:cs="Times New Roman" w:ascii="Times New Roman" w:hAnsi="Times New Roman"/>
          <w:b/>
          <w:bCs/>
          <w:sz w:val="22"/>
          <w:szCs w:val="22"/>
        </w:rPr>
        <w:tab/>
        <w:tab/>
        <w:tab/>
        <w:tab/>
        <w:tab/>
        <w:tab/>
        <w:tab/>
        <w:t>del S28 – Galleria Regionale di Palazzo Bellomo</w:t>
      </w:r>
    </w:p>
    <w:p>
      <w:pPr>
        <w:pStyle w:val="Normal"/>
        <w:rPr>
          <w:rFonts w:ascii="Times New Roman" w:hAnsi="Times New Roman" w:cs="Times New Roman"/>
          <w:b/>
          <w:b/>
          <w:bCs/>
          <w:sz w:val="22"/>
          <w:szCs w:val="22"/>
        </w:rPr>
      </w:pPr>
      <w:r>
        <w:rPr>
          <w:rFonts w:cs="Times New Roman" w:ascii="Times New Roman" w:hAnsi="Times New Roman"/>
          <w:b/>
          <w:bCs/>
          <w:sz w:val="22"/>
          <w:szCs w:val="22"/>
        </w:rPr>
        <w:t xml:space="preserve">                                                                                                                  </w:t>
      </w:r>
      <w:r>
        <w:rPr>
          <w:rFonts w:cs="Times New Roman" w:ascii="Times New Roman" w:hAnsi="Times New Roman"/>
          <w:b/>
          <w:bCs/>
          <w:sz w:val="22"/>
          <w:szCs w:val="22"/>
        </w:rPr>
        <w:t>(museo interdisciplinare)</w:t>
      </w:r>
    </w:p>
    <w:p>
      <w:pPr>
        <w:pStyle w:val="Normal"/>
        <w:rPr/>
      </w:pPr>
      <w:r>
        <w:rPr>
          <w:rFonts w:cs="Times New Roman" w:ascii="Times New Roman" w:hAnsi="Times New Roman"/>
          <w:b/>
          <w:bCs/>
          <w:sz w:val="22"/>
          <w:szCs w:val="22"/>
        </w:rPr>
        <w:t xml:space="preserve">                                                                                                                       </w:t>
      </w:r>
      <w:r>
        <w:rPr>
          <w:rFonts w:cs="Times New Roman" w:ascii="Times New Roman" w:hAnsi="Times New Roman"/>
          <w:b/>
          <w:bCs/>
          <w:sz w:val="22"/>
          <w:szCs w:val="22"/>
        </w:rPr>
        <w:t>Dott.ssa Rita Insolia</w:t>
      </w:r>
      <w:r>
        <w:rPr>
          <w:rFonts w:cs="Times New Roman" w:ascii="Times New Roman" w:hAnsi="Times New Roman"/>
          <w:b/>
          <w:sz w:val="22"/>
          <w:szCs w:val="22"/>
        </w:rPr>
        <w:tab/>
      </w:r>
      <w:r>
        <w:rPr>
          <w:b/>
          <w:sz w:val="22"/>
          <w:szCs w:val="22"/>
        </w:rPr>
        <w:tab/>
      </w:r>
    </w:p>
    <w:sectPr>
      <w:type w:val="nextPage"/>
      <w:pgSz w:w="11906" w:h="16838"/>
      <w:pgMar w:left="1134" w:right="1134" w:header="0" w:top="1191" w:footer="0" w:bottom="1134" w:gutter="0"/>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Arial">
    <w:charset w:val="00"/>
    <w:family w:val="roman"/>
    <w:pitch w:val="variable"/>
  </w:font>
  <w:font w:name="Symbol">
    <w:charset w:val="00"/>
    <w:family w:val="roman"/>
    <w:pitch w:val="variable"/>
  </w:font>
  <w:font w:name="OpenSymbol">
    <w:altName w:val="Arial Unicode MS"/>
    <w:charset w:val="00"/>
    <w:family w:val="roman"/>
    <w:pitch w:val="variable"/>
  </w:font>
  <w:font w:name="Liberation Sans">
    <w:altName w:val="Arial"/>
    <w:charset w:val="00"/>
    <w:family w:val="roman"/>
    <w:pitch w:val="variable"/>
  </w:font>
  <w:font w:name="Helvetica Neue">
    <w:charset w:val="00"/>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pStyle w:val="Titolo6"/>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40"/>
  <w:defaultTabStop w:val="720"/>
  <w:autoHyphenation w:val="true"/>
  <w:compat>
    <w:compatSetting w:name="compatibilityMode" w:uri="http://schemas.microsoft.com/office/word" w:val="14"/>
  </w:compat>
  <w:hyphenationZone w:val="283"/>
  <w:themeFontLang w:val="it-I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kern w:val="2"/>
        <w:sz w:val="24"/>
        <w:szCs w:val="24"/>
        <w:lang w:val="it-IT" w:eastAsia="zh-CN" w:bidi="hi-IN"/>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val="false"/>
      <w:suppressAutoHyphens w:val="true"/>
      <w:bidi w:val="0"/>
      <w:spacing w:before="0" w:after="0"/>
      <w:jc w:val="left"/>
      <w:textAlignment w:val="baseline"/>
    </w:pPr>
    <w:rPr>
      <w:rFonts w:ascii="Liberation Serif" w:hAnsi="Liberation Serif" w:eastAsia="NSimSun" w:cs="Arial"/>
      <w:color w:val="auto"/>
      <w:kern w:val="2"/>
      <w:sz w:val="24"/>
      <w:szCs w:val="24"/>
      <w:lang w:val="it-IT" w:eastAsia="zh-CN" w:bidi="hi-IN"/>
    </w:rPr>
  </w:style>
  <w:style w:type="paragraph" w:styleId="Titolo6">
    <w:name w:val="Heading 6"/>
    <w:basedOn w:val="Normal"/>
    <w:next w:val="Corpodeltesto"/>
    <w:qFormat/>
    <w:pPr>
      <w:keepNext w:val="true"/>
      <w:numPr>
        <w:ilvl w:val="5"/>
        <w:numId w:val="1"/>
      </w:numPr>
      <w:jc w:val="both"/>
      <w:outlineLvl w:val="5"/>
    </w:pPr>
    <w:rPr>
      <w:rFonts w:ascii="Arial" w:hAnsi="Arial"/>
      <w:b/>
      <w:color w:val="000000"/>
      <w:sz w:val="20"/>
      <w:szCs w:val="20"/>
    </w:rPr>
  </w:style>
  <w:style w:type="character" w:styleId="DefaultParagraphFont" w:default="1">
    <w:name w:val="Default Paragraph Font"/>
    <w:uiPriority w:val="1"/>
    <w:semiHidden/>
    <w:unhideWhenUsed/>
    <w:qFormat/>
    <w:rPr/>
  </w:style>
  <w:style w:type="character" w:styleId="WW8Num1z0" w:customStyle="1">
    <w:name w:val="WW8Num1z0"/>
    <w:qFormat/>
    <w:rPr/>
  </w:style>
  <w:style w:type="character" w:styleId="WW8Num1z1" w:customStyle="1">
    <w:name w:val="WW8Num1z1"/>
    <w:qFormat/>
    <w:rPr/>
  </w:style>
  <w:style w:type="character" w:styleId="WW8Num1z2" w:customStyle="1">
    <w:name w:val="WW8Num1z2"/>
    <w:qFormat/>
    <w:rPr/>
  </w:style>
  <w:style w:type="character" w:styleId="WW8Num1z3" w:customStyle="1">
    <w:name w:val="WW8Num1z3"/>
    <w:qFormat/>
    <w:rPr/>
  </w:style>
  <w:style w:type="character" w:styleId="WW8Num1z4" w:customStyle="1">
    <w:name w:val="WW8Num1z4"/>
    <w:qFormat/>
    <w:rPr/>
  </w:style>
  <w:style w:type="character" w:styleId="WW8Num1z5" w:customStyle="1">
    <w:name w:val="WW8Num1z5"/>
    <w:qFormat/>
    <w:rPr/>
  </w:style>
  <w:style w:type="character" w:styleId="WW8Num1z6" w:customStyle="1">
    <w:name w:val="WW8Num1z6"/>
    <w:qFormat/>
    <w:rPr/>
  </w:style>
  <w:style w:type="character" w:styleId="WW8Num1z7" w:customStyle="1">
    <w:name w:val="WW8Num1z7"/>
    <w:qFormat/>
    <w:rPr/>
  </w:style>
  <w:style w:type="character" w:styleId="WW8Num1z8" w:customStyle="1">
    <w:name w:val="WW8Num1z8"/>
    <w:qFormat/>
    <w:rPr/>
  </w:style>
  <w:style w:type="character" w:styleId="AbsatzStandardschriftart" w:customStyle="1">
    <w:name w:val="Absatz-Standardschriftart"/>
    <w:qFormat/>
    <w:rPr/>
  </w:style>
  <w:style w:type="character" w:styleId="WWAbsatzStandardschriftart" w:customStyle="1">
    <w:name w:val="WW-Absatz-Standardschriftart"/>
    <w:qFormat/>
    <w:rPr/>
  </w:style>
  <w:style w:type="character" w:styleId="WW8Num2z1" w:customStyle="1">
    <w:name w:val="WW8Num2z1"/>
    <w:qFormat/>
    <w:rPr>
      <w:rFonts w:ascii="Symbol" w:hAnsi="Symbol" w:cs="OpenSymbol;Arial Unicode MS"/>
    </w:rPr>
  </w:style>
  <w:style w:type="character" w:styleId="WWAbsatzStandardschriftart1" w:customStyle="1">
    <w:name w:val="WW-Absatz-Standardschriftart1"/>
    <w:qFormat/>
    <w:rPr/>
  </w:style>
  <w:style w:type="character" w:styleId="WW8Num2z0" w:customStyle="1">
    <w:name w:val="WW8Num2z0"/>
    <w:qFormat/>
    <w:rPr>
      <w:rFonts w:ascii="Symbol" w:hAnsi="Symbol" w:cs="OpenSymbol;Arial Unicode MS"/>
    </w:rPr>
  </w:style>
  <w:style w:type="character" w:styleId="WW8Num3z0" w:customStyle="1">
    <w:name w:val="WW8Num3z0"/>
    <w:qFormat/>
    <w:rPr>
      <w:rFonts w:ascii="Symbol" w:hAnsi="Symbol" w:cs="OpenSymbol;Arial Unicode MS"/>
    </w:rPr>
  </w:style>
  <w:style w:type="character" w:styleId="Titolo6Carattere" w:customStyle="1">
    <w:name w:val="Titolo 6 Carattere"/>
    <w:basedOn w:val="DefaultParagraphFont"/>
    <w:qFormat/>
    <w:rPr>
      <w:rFonts w:ascii="Arial" w:hAnsi="Arial" w:eastAsia="Times New Roman" w:cs="Times New Roman"/>
      <w:b/>
      <w:color w:val="000000"/>
      <w:sz w:val="20"/>
      <w:szCs w:val="20"/>
      <w:lang w:eastAsia="it-IT"/>
    </w:rPr>
  </w:style>
  <w:style w:type="character" w:styleId="IntestazioneCarattere" w:customStyle="1">
    <w:name w:val="Intestazione Carattere"/>
    <w:basedOn w:val="DefaultParagraphFont"/>
    <w:qFormat/>
    <w:rPr>
      <w:rFonts w:ascii="Arial" w:hAnsi="Arial" w:eastAsia="Times New Roman" w:cs="Times New Roman"/>
      <w:b/>
      <w:sz w:val="12"/>
      <w:szCs w:val="20"/>
      <w:lang w:eastAsia="it-IT"/>
    </w:rPr>
  </w:style>
  <w:style w:type="character" w:styleId="PidipaginaCarattere" w:customStyle="1">
    <w:name w:val="Piè di pagina Carattere"/>
    <w:basedOn w:val="DefaultParagraphFont"/>
    <w:qFormat/>
    <w:rPr>
      <w:rFonts w:ascii="Times New Roman" w:hAnsi="Times New Roman" w:eastAsia="Times New Roman" w:cs="Times New Roman"/>
      <w:sz w:val="24"/>
      <w:szCs w:val="24"/>
      <w:lang w:eastAsia="it-IT"/>
    </w:rPr>
  </w:style>
  <w:style w:type="character" w:styleId="Punti" w:customStyle="1">
    <w:name w:val="Punti"/>
    <w:qFormat/>
    <w:rPr>
      <w:rFonts w:ascii="OpenSymbol;Arial Unicode MS" w:hAnsi="OpenSymbol;Arial Unicode MS" w:eastAsia="OpenSymbol;Arial Unicode MS" w:cs="OpenSymbol;Arial Unicode MS"/>
    </w:rPr>
  </w:style>
  <w:style w:type="character" w:styleId="CollegamentoInternet" w:customStyle="1">
    <w:name w:val="Collegamento Internet"/>
    <w:rPr>
      <w:color w:val="0000FF"/>
      <w:u w:val="single"/>
    </w:rPr>
  </w:style>
  <w:style w:type="character" w:styleId="Nessuno" w:customStyle="1">
    <w:name w:val="Nessuno"/>
    <w:qFormat/>
    <w:rPr>
      <w:lang w:val="it-IT"/>
    </w:rPr>
  </w:style>
  <w:style w:type="character" w:styleId="Carpredefinitoparagrafo1" w:customStyle="1">
    <w:name w:val="Car. predefinito paragrafo1"/>
    <w:qFormat/>
    <w:rPr/>
  </w:style>
  <w:style w:type="paragraph" w:styleId="Titolo">
    <w:name w:val="Titolo"/>
    <w:basedOn w:val="Normal"/>
    <w:next w:val="Corpodeltesto"/>
    <w:qFormat/>
    <w:pPr>
      <w:keepNext w:val="true"/>
      <w:spacing w:before="240" w:after="120"/>
    </w:pPr>
    <w:rPr>
      <w:rFonts w:ascii="Liberation Sans" w:hAnsi="Liberation Sans" w:eastAsia="Microsoft YaHei" w:cs="Lucida Sans"/>
      <w:sz w:val="28"/>
      <w:szCs w:val="28"/>
    </w:rPr>
  </w:style>
  <w:style w:type="paragraph" w:styleId="Corpodeltesto">
    <w:name w:val="Body Text"/>
    <w:basedOn w:val="Normal"/>
    <w:pPr>
      <w:spacing w:before="0" w:after="120"/>
    </w:pPr>
    <w:rPr/>
  </w:style>
  <w:style w:type="paragraph" w:styleId="Elenco">
    <w:name w:val="List"/>
    <w:basedOn w:val="Corpodeltesto"/>
    <w:pPr/>
    <w:rPr>
      <w:rFonts w:cs="Mangal"/>
    </w:rPr>
  </w:style>
  <w:style w:type="paragraph" w:styleId="Didascalia">
    <w:name w:val="Caption"/>
    <w:basedOn w:val="Normal"/>
    <w:qFormat/>
    <w:pPr>
      <w:suppressLineNumbers/>
      <w:spacing w:before="120" w:after="120"/>
    </w:pPr>
    <w:rPr>
      <w:rFonts w:cs="Lucida Sans"/>
      <w:i/>
      <w:iCs/>
      <w:sz w:val="24"/>
      <w:szCs w:val="24"/>
    </w:rPr>
  </w:style>
  <w:style w:type="paragraph" w:styleId="Indice" w:customStyle="1">
    <w:name w:val="Indice"/>
    <w:basedOn w:val="Normal"/>
    <w:qFormat/>
    <w:pPr>
      <w:suppressLineNumbers/>
    </w:pPr>
    <w:rPr>
      <w:rFonts w:cs="Mangal"/>
    </w:rPr>
  </w:style>
  <w:style w:type="paragraph" w:styleId="Titoloprincipale">
    <w:name w:val="Title"/>
    <w:basedOn w:val="Normal"/>
    <w:next w:val="Corpodeltesto"/>
    <w:qFormat/>
    <w:pPr>
      <w:keepNext w:val="true"/>
      <w:spacing w:before="240" w:after="120"/>
    </w:pPr>
    <w:rPr>
      <w:rFonts w:ascii="Liberation Sans" w:hAnsi="Liberation Sans" w:eastAsia="Microsoft YaHei"/>
      <w:sz w:val="28"/>
      <w:szCs w:val="28"/>
    </w:rPr>
  </w:style>
  <w:style w:type="paragraph" w:styleId="Caption">
    <w:name w:val="caption"/>
    <w:basedOn w:val="Normal"/>
    <w:qFormat/>
    <w:pPr>
      <w:suppressLineNumbers/>
      <w:spacing w:before="120" w:after="120"/>
    </w:pPr>
    <w:rPr>
      <w:rFonts w:cs="Mangal"/>
      <w:i/>
      <w:iCs/>
    </w:rPr>
  </w:style>
  <w:style w:type="paragraph" w:styleId="Intestazioneepidipagina" w:customStyle="1">
    <w:name w:val="Intestazione e piè di pagina"/>
    <w:basedOn w:val="Normal"/>
    <w:qFormat/>
    <w:pPr>
      <w:suppressLineNumbers/>
      <w:tabs>
        <w:tab w:val="clear" w:pos="720"/>
        <w:tab w:val="center" w:pos="4819" w:leader="none"/>
        <w:tab w:val="right" w:pos="9638" w:leader="none"/>
      </w:tabs>
    </w:pPr>
    <w:rPr/>
  </w:style>
  <w:style w:type="paragraph" w:styleId="Intestazione">
    <w:name w:val="Header"/>
    <w:basedOn w:val="Normal"/>
    <w:next w:val="Corpodeltesto"/>
    <w:pPr>
      <w:keepNext w:val="true"/>
      <w:spacing w:before="240" w:after="120"/>
    </w:pPr>
    <w:rPr>
      <w:rFonts w:ascii="Arial" w:hAnsi="Arial" w:eastAsia="Microsoft YaHei" w:cs="Mangal"/>
      <w:sz w:val="28"/>
      <w:szCs w:val="28"/>
    </w:rPr>
  </w:style>
  <w:style w:type="paragraph" w:styleId="Rigadintestazione" w:customStyle="1">
    <w:name w:val="Riga d'intestazione"/>
    <w:basedOn w:val="Normal"/>
    <w:qFormat/>
    <w:pPr>
      <w:suppressLineNumbers/>
      <w:tabs>
        <w:tab w:val="clear" w:pos="720"/>
        <w:tab w:val="center" w:pos="4819" w:leader="none"/>
        <w:tab w:val="right" w:pos="9638" w:leader="none"/>
      </w:tabs>
    </w:pPr>
    <w:rPr>
      <w:rFonts w:ascii="Arial" w:hAnsi="Arial"/>
      <w:b/>
      <w:sz w:val="12"/>
      <w:szCs w:val="20"/>
    </w:rPr>
  </w:style>
  <w:style w:type="paragraph" w:styleId="Pidipagina">
    <w:name w:val="Footer"/>
    <w:basedOn w:val="Normal"/>
    <w:pPr>
      <w:suppressLineNumbers/>
      <w:tabs>
        <w:tab w:val="clear" w:pos="720"/>
        <w:tab w:val="center" w:pos="4819" w:leader="none"/>
        <w:tab w:val="right" w:pos="9638" w:leader="none"/>
      </w:tabs>
    </w:pPr>
    <w:rPr/>
  </w:style>
  <w:style w:type="paragraph" w:styleId="Contenutotabella" w:customStyle="1">
    <w:name w:val="Contenuto tabella"/>
    <w:basedOn w:val="Normal"/>
    <w:qFormat/>
    <w:pPr>
      <w:suppressLineNumbers/>
    </w:pPr>
    <w:rPr/>
  </w:style>
  <w:style w:type="paragraph" w:styleId="WWContenutotabella" w:customStyle="1">
    <w:name w:val="WW-Contenuto tabella"/>
    <w:basedOn w:val="Normal"/>
    <w:qFormat/>
    <w:pPr>
      <w:suppressLineNumbers/>
    </w:pPr>
    <w:rPr/>
  </w:style>
  <w:style w:type="paragraph" w:styleId="Intestazionetabella" w:customStyle="1">
    <w:name w:val="Intestazione tabella"/>
    <w:basedOn w:val="WWContenutotabella"/>
    <w:qFormat/>
    <w:pPr>
      <w:jc w:val="center"/>
    </w:pPr>
    <w:rPr>
      <w:b/>
      <w:bCs/>
    </w:rPr>
  </w:style>
  <w:style w:type="paragraph" w:styleId="Titolotabella" w:customStyle="1">
    <w:name w:val="Titolo tabella"/>
    <w:basedOn w:val="Contenutotabella"/>
    <w:qFormat/>
    <w:pPr>
      <w:jc w:val="center"/>
    </w:pPr>
    <w:rPr>
      <w:b/>
      <w:bCs/>
    </w:rPr>
  </w:style>
  <w:style w:type="paragraph" w:styleId="Didefault" w:customStyle="1">
    <w:name w:val="Di default"/>
    <w:qFormat/>
    <w:pPr>
      <w:widowControl/>
      <w:suppressAutoHyphens w:val="true"/>
      <w:bidi w:val="0"/>
      <w:spacing w:before="160" w:after="0"/>
      <w:jc w:val="left"/>
      <w:textAlignment w:val="baseline"/>
    </w:pPr>
    <w:rPr>
      <w:rFonts w:ascii="Helvetica Neue" w:hAnsi="Helvetica Neue" w:eastAsia="Helvetica Neue" w:cs="Helvetica Neue"/>
      <w:color w:val="000000"/>
      <w:kern w:val="2"/>
      <w:sz w:val="24"/>
      <w:szCs w:val="24"/>
      <w:lang w:val="it-IT" w:eastAsia="zh-CN" w:bidi="ar-SA"/>
    </w:rPr>
  </w:style>
  <w:style w:type="paragraph" w:styleId="Normale1" w:customStyle="1">
    <w:name w:val="Normale1"/>
    <w:qFormat/>
    <w:pPr>
      <w:widowControl/>
      <w:suppressAutoHyphens w:val="true"/>
      <w:bidi w:val="0"/>
      <w:spacing w:before="0" w:after="0"/>
      <w:jc w:val="left"/>
      <w:textAlignment w:val="baseline"/>
    </w:pPr>
    <w:rPr>
      <w:rFonts w:ascii="Times New Roman" w:hAnsi="Times New Roman" w:eastAsia="Arial Unicode MS" w:cs="Arial Unicode MS"/>
      <w:color w:val="000000"/>
      <w:kern w:val="2"/>
      <w:sz w:val="24"/>
      <w:szCs w:val="24"/>
      <w:lang w:val="it-IT" w:eastAsia="zh-CN" w:bidi="ar-SA"/>
    </w:rPr>
  </w:style>
  <w:style w:type="paragraph" w:styleId="Western" w:customStyle="1">
    <w:name w:val="western"/>
    <w:basedOn w:val="Normal"/>
    <w:qFormat/>
    <w:rsid w:val="00ff3568"/>
    <w:pPr>
      <w:widowControl/>
      <w:suppressAutoHyphens w:val="false"/>
      <w:spacing w:lineRule="atLeast" w:line="102" w:beforeAutospacing="1" w:after="119"/>
      <w:textAlignment w:val="auto"/>
    </w:pPr>
    <w:rPr>
      <w:rFonts w:ascii="Times New Roman" w:hAnsi="Times New Roman" w:eastAsia="Times New Roman" w:cs="Times New Roman"/>
      <w:color w:val="000000"/>
      <w:kern w:val="0"/>
      <w:lang w:eastAsia="it-IT" w:bidi="ar-SA"/>
    </w:rPr>
  </w:style>
  <w:style w:type="numbering" w:styleId="NoList" w:default="1">
    <w:name w:val="No List"/>
    <w:uiPriority w:val="99"/>
    <w:semiHidden/>
    <w:unhideWhenUsed/>
    <w:qFormat/>
  </w:style>
  <w:style w:type="numbering" w:styleId="WW8Num1" w:customStyle="1">
    <w:name w:val="WW8Num1"/>
    <w:qFormat/>
  </w:style>
  <w:style w:type="table" w:default="1" w:styleId="Tabellanormale">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Decreto di Liquidazione.dotx</Template>
  <TotalTime>187</TotalTime>
  <Application>LibreOffice/7.1.0.3$Windows_X86_64 LibreOffice_project/f6099ecf3d29644b5008cc8f48f42f4a40986e4c</Application>
  <AppVersion>15.0000</AppVersion>
  <Pages>3</Pages>
  <Words>1430</Words>
  <Characters>8031</Characters>
  <CharactersWithSpaces>9835</CharactersWithSpaces>
  <Paragraphs>61</Paragraphs>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2024-12-30T08:28:00Z</dcterms:created>
  <dc:creator>Rosaria Zocco</dc:creator>
  <dc:description/>
  <dc:language>it-IT</dc:language>
  <cp:lastModifiedBy/>
  <cp:lastPrinted>2024-12-30T10:16:00Z</cp:lastPrinted>
  <dcterms:modified xsi:type="dcterms:W3CDTF">2025-05-09T11:55:34Z</dcterms:modified>
  <cp:revision>31</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