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A91DC" w14:textId="0CC770D9" w:rsidR="00D72B04" w:rsidRPr="00607330" w:rsidRDefault="00D72B04" w:rsidP="00607330">
      <w:pPr>
        <w:pStyle w:val="Default"/>
        <w:spacing w:line="276" w:lineRule="auto"/>
        <w:rPr>
          <w:sz w:val="22"/>
          <w:szCs w:val="22"/>
        </w:rPr>
      </w:pPr>
    </w:p>
    <w:p w14:paraId="527C772A" w14:textId="3681D67E" w:rsidR="00D72B04" w:rsidRPr="00607330" w:rsidRDefault="00D72B04" w:rsidP="00D72B04">
      <w:pPr>
        <w:pStyle w:val="Default"/>
        <w:spacing w:line="276" w:lineRule="auto"/>
        <w:jc w:val="center"/>
        <w:rPr>
          <w:b/>
          <w:sz w:val="22"/>
          <w:szCs w:val="22"/>
        </w:rPr>
      </w:pPr>
      <w:r w:rsidRPr="00607330">
        <w:rPr>
          <w:b/>
          <w:sz w:val="22"/>
          <w:szCs w:val="22"/>
        </w:rPr>
        <w:t>REPUBBLICA ITALIANA</w:t>
      </w:r>
    </w:p>
    <w:p w14:paraId="3A7EC097" w14:textId="56E38DFE" w:rsidR="00D72B04" w:rsidRPr="00607330" w:rsidRDefault="00D72B04" w:rsidP="00D72B04">
      <w:pPr>
        <w:pStyle w:val="Default"/>
        <w:spacing w:line="276" w:lineRule="auto"/>
        <w:jc w:val="center"/>
        <w:rPr>
          <w:b/>
          <w:sz w:val="22"/>
          <w:szCs w:val="22"/>
        </w:rPr>
      </w:pPr>
      <w:r w:rsidRPr="00607330">
        <w:rPr>
          <w:rFonts w:eastAsia="Times New Roman"/>
          <w:b/>
          <w:noProof/>
          <w:color w:val="auto"/>
          <w:sz w:val="22"/>
          <w:szCs w:val="22"/>
          <w:lang w:eastAsia="it-IT"/>
          <w14:ligatures w14:val="none"/>
        </w:rPr>
        <w:drawing>
          <wp:inline distT="0" distB="0" distL="0" distR="0" wp14:anchorId="72CB35D7" wp14:editId="42C7B1A7">
            <wp:extent cx="402590" cy="44069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590" cy="440690"/>
                    </a:xfrm>
                    <a:prstGeom prst="rect">
                      <a:avLst/>
                    </a:prstGeom>
                    <a:noFill/>
                    <a:ln>
                      <a:noFill/>
                    </a:ln>
                  </pic:spPr>
                </pic:pic>
              </a:graphicData>
            </a:graphic>
          </wp:inline>
        </w:drawing>
      </w:r>
    </w:p>
    <w:p w14:paraId="3F45909A" w14:textId="69023DD6" w:rsidR="00D72B04" w:rsidRPr="00607330" w:rsidRDefault="00D72B04" w:rsidP="00D72B04">
      <w:pPr>
        <w:pStyle w:val="Default"/>
        <w:spacing w:line="276" w:lineRule="auto"/>
        <w:jc w:val="center"/>
        <w:rPr>
          <w:b/>
          <w:sz w:val="22"/>
          <w:szCs w:val="22"/>
        </w:rPr>
      </w:pPr>
      <w:r w:rsidRPr="00607330">
        <w:rPr>
          <w:b/>
          <w:sz w:val="22"/>
          <w:szCs w:val="22"/>
        </w:rPr>
        <w:t>R</w:t>
      </w:r>
      <w:r w:rsidRPr="00607330">
        <w:rPr>
          <w:b/>
          <w:bCs/>
          <w:sz w:val="22"/>
          <w:szCs w:val="22"/>
        </w:rPr>
        <w:t>EGI</w:t>
      </w:r>
      <w:r w:rsidRPr="00607330">
        <w:rPr>
          <w:b/>
          <w:sz w:val="22"/>
          <w:szCs w:val="22"/>
        </w:rPr>
        <w:t>ONE SICILIANA</w:t>
      </w:r>
    </w:p>
    <w:p w14:paraId="6AC94859" w14:textId="160B35A1" w:rsidR="00D72B04" w:rsidRPr="00607330" w:rsidRDefault="00D72B04" w:rsidP="00D72B04">
      <w:pPr>
        <w:pStyle w:val="Default"/>
        <w:spacing w:line="276" w:lineRule="auto"/>
        <w:jc w:val="center"/>
        <w:rPr>
          <w:b/>
          <w:sz w:val="22"/>
          <w:szCs w:val="22"/>
        </w:rPr>
      </w:pPr>
      <w:r w:rsidRPr="00607330">
        <w:rPr>
          <w:b/>
          <w:sz w:val="22"/>
          <w:szCs w:val="22"/>
        </w:rPr>
        <w:t>ASSESSORATO DEI BENI CULTURALI</w:t>
      </w:r>
    </w:p>
    <w:p w14:paraId="46E96775" w14:textId="471510C5" w:rsidR="00D72B04" w:rsidRPr="00607330" w:rsidRDefault="00D72B04" w:rsidP="00D72B04">
      <w:pPr>
        <w:pStyle w:val="Default"/>
        <w:spacing w:line="276" w:lineRule="auto"/>
        <w:jc w:val="center"/>
        <w:rPr>
          <w:b/>
          <w:sz w:val="22"/>
          <w:szCs w:val="22"/>
        </w:rPr>
      </w:pPr>
      <w:r w:rsidRPr="00607330">
        <w:rPr>
          <w:b/>
          <w:sz w:val="22"/>
          <w:szCs w:val="22"/>
        </w:rPr>
        <w:t>E DELL’IDENTITÀ SICILIANA</w:t>
      </w:r>
    </w:p>
    <w:p w14:paraId="1D455D78" w14:textId="159831B6" w:rsidR="00257D60" w:rsidRPr="00607330" w:rsidRDefault="00D72B04" w:rsidP="00D72B04">
      <w:pPr>
        <w:spacing w:line="276" w:lineRule="auto"/>
        <w:jc w:val="center"/>
        <w:rPr>
          <w:rFonts w:ascii="Times New Roman" w:hAnsi="Times New Roman" w:cs="Times New Roman"/>
          <w:b/>
        </w:rPr>
      </w:pPr>
      <w:r w:rsidRPr="00607330">
        <w:rPr>
          <w:rFonts w:ascii="Times New Roman" w:hAnsi="Times New Roman" w:cs="Times New Roman"/>
          <w:b/>
        </w:rPr>
        <w:t>PARCO ARCHEOLOG</w:t>
      </w:r>
      <w:r w:rsidR="000E0B2D" w:rsidRPr="00607330">
        <w:rPr>
          <w:rFonts w:ascii="Times New Roman" w:hAnsi="Times New Roman" w:cs="Times New Roman"/>
          <w:b/>
        </w:rPr>
        <w:t>ICO E PAESAGGISTICO DI SIRACUSA</w:t>
      </w:r>
      <w:r w:rsidRPr="00607330">
        <w:rPr>
          <w:rFonts w:ascii="Times New Roman" w:hAnsi="Times New Roman" w:cs="Times New Roman"/>
          <w:b/>
        </w:rPr>
        <w:t xml:space="preserve"> ELORO, VILLA DEL TELLARO E AKRAI</w:t>
      </w:r>
    </w:p>
    <w:p w14:paraId="7F68B833" w14:textId="77777777" w:rsidR="002977FA" w:rsidRPr="00607330" w:rsidRDefault="002977FA" w:rsidP="008A384D">
      <w:pPr>
        <w:pStyle w:val="Default"/>
        <w:spacing w:line="276" w:lineRule="auto"/>
        <w:rPr>
          <w:sz w:val="22"/>
          <w:szCs w:val="22"/>
        </w:rPr>
      </w:pPr>
    </w:p>
    <w:p w14:paraId="7B1425F3" w14:textId="183EDEEA" w:rsidR="00B44BC6" w:rsidRPr="00607330" w:rsidRDefault="002977FA" w:rsidP="008A384D">
      <w:pPr>
        <w:pStyle w:val="Default"/>
        <w:spacing w:line="276" w:lineRule="auto"/>
        <w:jc w:val="both"/>
        <w:rPr>
          <w:sz w:val="22"/>
          <w:szCs w:val="22"/>
        </w:rPr>
      </w:pPr>
      <w:r w:rsidRPr="00607330">
        <w:rPr>
          <w:sz w:val="22"/>
          <w:szCs w:val="22"/>
        </w:rPr>
        <w:t xml:space="preserve">Oggetto: </w:t>
      </w:r>
      <w:r w:rsidR="00367DF2" w:rsidRPr="00607330">
        <w:rPr>
          <w:sz w:val="22"/>
          <w:szCs w:val="22"/>
        </w:rPr>
        <w:t>Schema di c</w:t>
      </w:r>
      <w:r w:rsidR="00B44BC6" w:rsidRPr="00607330">
        <w:rPr>
          <w:sz w:val="22"/>
          <w:szCs w:val="22"/>
        </w:rPr>
        <w:t xml:space="preserve">ontratto per l’affidamento in concessione, </w:t>
      </w:r>
      <w:r w:rsidR="00B44BC6" w:rsidRPr="00607330">
        <w:rPr>
          <w:i/>
          <w:sz w:val="22"/>
          <w:szCs w:val="22"/>
        </w:rPr>
        <w:t>ex</w:t>
      </w:r>
      <w:r w:rsidR="00B44BC6" w:rsidRPr="00607330">
        <w:rPr>
          <w:sz w:val="22"/>
          <w:szCs w:val="22"/>
        </w:rPr>
        <w:t xml:space="preserve"> artt. 176 e ss. del </w:t>
      </w:r>
      <w:proofErr w:type="gramStart"/>
      <w:r w:rsidR="00B44BC6" w:rsidRPr="00607330">
        <w:rPr>
          <w:sz w:val="22"/>
          <w:szCs w:val="22"/>
        </w:rPr>
        <w:t>D.Lgs</w:t>
      </w:r>
      <w:proofErr w:type="gramEnd"/>
      <w:r w:rsidR="00B44BC6" w:rsidRPr="00607330">
        <w:rPr>
          <w:sz w:val="22"/>
          <w:szCs w:val="22"/>
        </w:rPr>
        <w:t xml:space="preserve">. 36/2023 e ss.mm.ii., della gestione integrata dei servizi al pubblico di cui all’art. 117 del </w:t>
      </w:r>
      <w:proofErr w:type="gramStart"/>
      <w:r w:rsidR="00B44BC6" w:rsidRPr="00607330">
        <w:rPr>
          <w:sz w:val="22"/>
          <w:szCs w:val="22"/>
        </w:rPr>
        <w:t>D.Lgs</w:t>
      </w:r>
      <w:proofErr w:type="gramEnd"/>
      <w:r w:rsidR="00B44BC6" w:rsidRPr="00607330">
        <w:rPr>
          <w:sz w:val="22"/>
          <w:szCs w:val="22"/>
        </w:rPr>
        <w:t xml:space="preserve">. 42/2004 (servizi di biglietteria, di assistenza culturale e di ospitalità) dei siti culturali della provincia di Siracusa (Parco Archeologico e Paesaggistico di Siracusa </w:t>
      </w:r>
      <w:proofErr w:type="spellStart"/>
      <w:r w:rsidR="00B44BC6" w:rsidRPr="00607330">
        <w:rPr>
          <w:sz w:val="22"/>
          <w:szCs w:val="22"/>
        </w:rPr>
        <w:t>Eloro</w:t>
      </w:r>
      <w:proofErr w:type="spellEnd"/>
      <w:r w:rsidR="00B44BC6" w:rsidRPr="00607330">
        <w:rPr>
          <w:sz w:val="22"/>
          <w:szCs w:val="22"/>
        </w:rPr>
        <w:t xml:space="preserve">, Villa del Tellaro e </w:t>
      </w:r>
      <w:proofErr w:type="spellStart"/>
      <w:r w:rsidR="00B44BC6" w:rsidRPr="00607330">
        <w:rPr>
          <w:sz w:val="22"/>
          <w:szCs w:val="22"/>
        </w:rPr>
        <w:t>Akrai</w:t>
      </w:r>
      <w:proofErr w:type="spellEnd"/>
      <w:r w:rsidR="00B44BC6" w:rsidRPr="00607330">
        <w:rPr>
          <w:sz w:val="22"/>
          <w:szCs w:val="22"/>
        </w:rPr>
        <w:t>), articolata in un unico lotto, di durata quadriennale e con ulteriore opzione di proroga biennale.</w:t>
      </w:r>
    </w:p>
    <w:p w14:paraId="6F6F796E" w14:textId="634F53BA" w:rsidR="002977FA" w:rsidRPr="00607330" w:rsidRDefault="002977FA" w:rsidP="008A384D">
      <w:pPr>
        <w:pStyle w:val="Default"/>
        <w:spacing w:line="276" w:lineRule="auto"/>
        <w:rPr>
          <w:sz w:val="22"/>
          <w:szCs w:val="22"/>
        </w:rPr>
      </w:pPr>
      <w:r w:rsidRPr="00607330">
        <w:rPr>
          <w:sz w:val="22"/>
          <w:szCs w:val="22"/>
        </w:rPr>
        <w:t xml:space="preserve">CIG                                                                 </w:t>
      </w:r>
      <w:r w:rsidR="00C52CC2" w:rsidRPr="00607330">
        <w:rPr>
          <w:sz w:val="22"/>
          <w:szCs w:val="22"/>
        </w:rPr>
        <w:t xml:space="preserve">      </w:t>
      </w:r>
      <w:r w:rsidRPr="00607330">
        <w:rPr>
          <w:sz w:val="22"/>
          <w:szCs w:val="22"/>
        </w:rPr>
        <w:t xml:space="preserve">  CUP </w:t>
      </w:r>
      <w:r w:rsidR="00C52CC2" w:rsidRPr="00607330">
        <w:rPr>
          <w:sz w:val="22"/>
          <w:szCs w:val="22"/>
        </w:rPr>
        <w:t>G34H24000380002</w:t>
      </w:r>
      <w:r w:rsidRPr="00607330">
        <w:rPr>
          <w:sz w:val="22"/>
          <w:szCs w:val="22"/>
        </w:rPr>
        <w:t xml:space="preserve"> </w:t>
      </w:r>
    </w:p>
    <w:p w14:paraId="5F1D9043" w14:textId="77777777" w:rsidR="00B44BC6" w:rsidRPr="00607330" w:rsidRDefault="00B44BC6" w:rsidP="008A384D">
      <w:pPr>
        <w:pStyle w:val="Default"/>
        <w:spacing w:line="276" w:lineRule="auto"/>
        <w:jc w:val="both"/>
        <w:rPr>
          <w:sz w:val="22"/>
          <w:szCs w:val="22"/>
        </w:rPr>
      </w:pPr>
    </w:p>
    <w:p w14:paraId="2292695F" w14:textId="4CA7DEDD" w:rsidR="002977FA" w:rsidRPr="00607330" w:rsidRDefault="002977FA" w:rsidP="008A384D">
      <w:pPr>
        <w:pStyle w:val="Default"/>
        <w:spacing w:line="276" w:lineRule="auto"/>
        <w:jc w:val="both"/>
        <w:rPr>
          <w:sz w:val="22"/>
          <w:szCs w:val="22"/>
        </w:rPr>
      </w:pPr>
      <w:r w:rsidRPr="00607330">
        <w:rPr>
          <w:sz w:val="22"/>
          <w:szCs w:val="22"/>
        </w:rPr>
        <w:t>In Siracusa negli Uffici del Parco archeologi</w:t>
      </w:r>
      <w:r w:rsidR="000E0B2D" w:rsidRPr="00607330">
        <w:rPr>
          <w:sz w:val="22"/>
          <w:szCs w:val="22"/>
        </w:rPr>
        <w:t xml:space="preserve">co e paesaggistico di Siracusa </w:t>
      </w:r>
      <w:proofErr w:type="spellStart"/>
      <w:r w:rsidRPr="00607330">
        <w:rPr>
          <w:sz w:val="22"/>
          <w:szCs w:val="22"/>
        </w:rPr>
        <w:t>Eloro</w:t>
      </w:r>
      <w:proofErr w:type="spellEnd"/>
      <w:r w:rsidRPr="00607330">
        <w:rPr>
          <w:sz w:val="22"/>
          <w:szCs w:val="22"/>
        </w:rPr>
        <w:t xml:space="preserve">, villa del Tellaro e </w:t>
      </w:r>
      <w:proofErr w:type="spellStart"/>
      <w:r w:rsidRPr="00607330">
        <w:rPr>
          <w:sz w:val="22"/>
          <w:szCs w:val="22"/>
        </w:rPr>
        <w:t>Akrai</w:t>
      </w:r>
      <w:proofErr w:type="spellEnd"/>
      <w:r w:rsidRPr="00607330">
        <w:rPr>
          <w:sz w:val="22"/>
          <w:szCs w:val="22"/>
        </w:rPr>
        <w:t xml:space="preserve">, d’ora in poi denominato “Parco”, </w:t>
      </w:r>
    </w:p>
    <w:p w14:paraId="65E13774" w14:textId="53E0E49D" w:rsidR="002977FA" w:rsidRPr="00607330" w:rsidRDefault="002977FA" w:rsidP="008A384D">
      <w:pPr>
        <w:pStyle w:val="Default"/>
        <w:spacing w:line="276" w:lineRule="auto"/>
        <w:jc w:val="center"/>
        <w:rPr>
          <w:b/>
          <w:sz w:val="22"/>
          <w:szCs w:val="22"/>
        </w:rPr>
      </w:pPr>
      <w:r w:rsidRPr="00607330">
        <w:rPr>
          <w:b/>
          <w:sz w:val="22"/>
          <w:szCs w:val="22"/>
        </w:rPr>
        <w:t>TRA LE PARTI</w:t>
      </w:r>
    </w:p>
    <w:p w14:paraId="75AF4D00" w14:textId="77777777" w:rsidR="00607330" w:rsidRPr="00607330" w:rsidRDefault="00607330" w:rsidP="008A384D">
      <w:pPr>
        <w:pStyle w:val="Default"/>
        <w:spacing w:line="276" w:lineRule="auto"/>
        <w:jc w:val="center"/>
        <w:rPr>
          <w:b/>
          <w:sz w:val="22"/>
          <w:szCs w:val="22"/>
        </w:rPr>
      </w:pPr>
    </w:p>
    <w:p w14:paraId="0C194418" w14:textId="3EFA664A" w:rsidR="002977FA" w:rsidRPr="00607330" w:rsidRDefault="002977FA" w:rsidP="008A384D">
      <w:pPr>
        <w:pStyle w:val="Default"/>
        <w:spacing w:line="276" w:lineRule="auto"/>
        <w:jc w:val="both"/>
        <w:rPr>
          <w:sz w:val="22"/>
          <w:szCs w:val="22"/>
        </w:rPr>
      </w:pPr>
      <w:r w:rsidRPr="00607330">
        <w:rPr>
          <w:sz w:val="22"/>
          <w:szCs w:val="22"/>
        </w:rPr>
        <w:t xml:space="preserve">1) Arch. Carmelo Bennardo, nato a Favara (AG) il 22 giugno 1959, Direttore del “Parco”, che interviene al presente atto nella qualità di legale rappresentante del </w:t>
      </w:r>
      <w:r w:rsidR="00EC193A" w:rsidRPr="00607330">
        <w:rPr>
          <w:sz w:val="22"/>
          <w:szCs w:val="22"/>
        </w:rPr>
        <w:t>“</w:t>
      </w:r>
      <w:r w:rsidRPr="00607330">
        <w:rPr>
          <w:sz w:val="22"/>
          <w:szCs w:val="22"/>
        </w:rPr>
        <w:t>Parco</w:t>
      </w:r>
      <w:r w:rsidR="00EC193A" w:rsidRPr="00607330">
        <w:rPr>
          <w:sz w:val="22"/>
          <w:szCs w:val="22"/>
        </w:rPr>
        <w:t>”</w:t>
      </w:r>
      <w:r w:rsidRPr="00607330">
        <w:rPr>
          <w:sz w:val="22"/>
          <w:szCs w:val="22"/>
        </w:rPr>
        <w:t xml:space="preserve"> (Codice Fiscale: </w:t>
      </w:r>
      <w:r w:rsidR="000504A1" w:rsidRPr="00607330">
        <w:rPr>
          <w:sz w:val="22"/>
          <w:szCs w:val="22"/>
        </w:rPr>
        <w:t>01998780892</w:t>
      </w:r>
      <w:r w:rsidRPr="00607330">
        <w:rPr>
          <w:sz w:val="22"/>
          <w:szCs w:val="22"/>
        </w:rPr>
        <w:t xml:space="preserve">). </w:t>
      </w:r>
    </w:p>
    <w:p w14:paraId="2732EFF6" w14:textId="682C8A5B" w:rsidR="00367DF2" w:rsidRPr="00607330" w:rsidRDefault="00367DF2" w:rsidP="008A384D">
      <w:pPr>
        <w:pStyle w:val="Default"/>
        <w:spacing w:line="276" w:lineRule="auto"/>
        <w:jc w:val="center"/>
        <w:rPr>
          <w:b/>
          <w:sz w:val="22"/>
          <w:szCs w:val="22"/>
        </w:rPr>
      </w:pPr>
      <w:r w:rsidRPr="00607330">
        <w:rPr>
          <w:b/>
          <w:sz w:val="22"/>
          <w:szCs w:val="22"/>
        </w:rPr>
        <w:t>E</w:t>
      </w:r>
    </w:p>
    <w:p w14:paraId="40561639" w14:textId="3A6849A4" w:rsidR="002977FA" w:rsidRPr="00607330" w:rsidRDefault="00C52CC2" w:rsidP="008A384D">
      <w:pPr>
        <w:pStyle w:val="Default"/>
        <w:spacing w:line="276" w:lineRule="auto"/>
        <w:jc w:val="both"/>
        <w:rPr>
          <w:sz w:val="22"/>
          <w:szCs w:val="22"/>
        </w:rPr>
      </w:pPr>
      <w:r w:rsidRPr="00607330">
        <w:rPr>
          <w:sz w:val="22"/>
          <w:szCs w:val="22"/>
        </w:rPr>
        <w:t>2) Sig. ___________________________________</w:t>
      </w:r>
      <w:r w:rsidR="00473E94" w:rsidRPr="00607330">
        <w:rPr>
          <w:sz w:val="22"/>
          <w:szCs w:val="22"/>
        </w:rPr>
        <w:t xml:space="preserve">, </w:t>
      </w:r>
      <w:r w:rsidR="002977FA" w:rsidRPr="00607330">
        <w:rPr>
          <w:sz w:val="22"/>
          <w:szCs w:val="22"/>
        </w:rPr>
        <w:t xml:space="preserve">nato </w:t>
      </w:r>
      <w:r w:rsidRPr="00607330">
        <w:rPr>
          <w:sz w:val="22"/>
          <w:szCs w:val="22"/>
        </w:rPr>
        <w:t>a _______________________, i</w:t>
      </w:r>
      <w:r w:rsidR="002977FA" w:rsidRPr="00607330">
        <w:rPr>
          <w:sz w:val="22"/>
          <w:szCs w:val="22"/>
        </w:rPr>
        <w:t>l</w:t>
      </w:r>
      <w:r w:rsidRPr="00607330">
        <w:rPr>
          <w:sz w:val="22"/>
          <w:szCs w:val="22"/>
        </w:rPr>
        <w:t xml:space="preserve"> ___________</w:t>
      </w:r>
      <w:r w:rsidR="002977FA" w:rsidRPr="00607330">
        <w:rPr>
          <w:sz w:val="22"/>
          <w:szCs w:val="22"/>
        </w:rPr>
        <w:t xml:space="preserve"> </w:t>
      </w:r>
      <w:r w:rsidR="00473E94" w:rsidRPr="00607330">
        <w:rPr>
          <w:sz w:val="22"/>
          <w:szCs w:val="22"/>
        </w:rPr>
        <w:t xml:space="preserve">                        </w:t>
      </w:r>
      <w:r w:rsidR="002977FA" w:rsidRPr="00607330">
        <w:rPr>
          <w:sz w:val="22"/>
          <w:szCs w:val="22"/>
        </w:rPr>
        <w:t>e residente in</w:t>
      </w:r>
      <w:r w:rsidR="00473E94" w:rsidRPr="00607330">
        <w:rPr>
          <w:sz w:val="22"/>
          <w:szCs w:val="22"/>
        </w:rPr>
        <w:t xml:space="preserve"> </w:t>
      </w:r>
      <w:r w:rsidRPr="00607330">
        <w:rPr>
          <w:sz w:val="22"/>
          <w:szCs w:val="22"/>
        </w:rPr>
        <w:t>_________________,</w:t>
      </w:r>
      <w:r w:rsidR="00473E94" w:rsidRPr="00607330">
        <w:rPr>
          <w:sz w:val="22"/>
          <w:szCs w:val="22"/>
        </w:rPr>
        <w:t xml:space="preserve"> </w:t>
      </w:r>
      <w:r w:rsidR="002977FA" w:rsidRPr="00607330">
        <w:rPr>
          <w:sz w:val="22"/>
          <w:szCs w:val="22"/>
        </w:rPr>
        <w:t>via</w:t>
      </w:r>
      <w:r w:rsidRPr="00607330">
        <w:rPr>
          <w:sz w:val="22"/>
          <w:szCs w:val="22"/>
        </w:rPr>
        <w:t xml:space="preserve"> ____________________________,</w:t>
      </w:r>
      <w:r w:rsidR="00367DF2" w:rsidRPr="00607330">
        <w:rPr>
          <w:sz w:val="22"/>
          <w:szCs w:val="22"/>
        </w:rPr>
        <w:t xml:space="preserve"> CF: ___ __________________________, </w:t>
      </w:r>
      <w:r w:rsidR="002977FA" w:rsidRPr="00607330">
        <w:rPr>
          <w:sz w:val="22"/>
          <w:szCs w:val="22"/>
        </w:rPr>
        <w:t>in qualità di Legale Rappresentante della Società</w:t>
      </w:r>
      <w:r w:rsidR="00473E94" w:rsidRPr="00607330">
        <w:rPr>
          <w:sz w:val="22"/>
          <w:szCs w:val="22"/>
        </w:rPr>
        <w:t xml:space="preserve"> </w:t>
      </w:r>
      <w:r w:rsidR="00367DF2" w:rsidRPr="00607330">
        <w:rPr>
          <w:sz w:val="22"/>
          <w:szCs w:val="22"/>
        </w:rPr>
        <w:t>___________________________________,</w:t>
      </w:r>
      <w:r w:rsidR="002977FA" w:rsidRPr="00607330">
        <w:rPr>
          <w:sz w:val="22"/>
          <w:szCs w:val="22"/>
        </w:rPr>
        <w:t xml:space="preserve"> con sede in</w:t>
      </w:r>
      <w:r w:rsidR="00367DF2" w:rsidRPr="00607330">
        <w:rPr>
          <w:sz w:val="22"/>
          <w:szCs w:val="22"/>
        </w:rPr>
        <w:t xml:space="preserve"> _______________________________, via </w:t>
      </w:r>
      <w:r w:rsidR="00367DF2" w:rsidRPr="00607330">
        <w:rPr>
          <w:sz w:val="22"/>
          <w:szCs w:val="22"/>
        </w:rPr>
        <w:softHyphen/>
      </w:r>
      <w:r w:rsidR="00367DF2" w:rsidRPr="00607330">
        <w:rPr>
          <w:sz w:val="22"/>
          <w:szCs w:val="22"/>
        </w:rPr>
        <w:softHyphen/>
      </w:r>
      <w:r w:rsidR="00367DF2" w:rsidRPr="00607330">
        <w:rPr>
          <w:sz w:val="22"/>
          <w:szCs w:val="22"/>
        </w:rPr>
        <w:softHyphen/>
        <w:t xml:space="preserve">____________________________________, </w:t>
      </w:r>
      <w:r w:rsidR="002977FA" w:rsidRPr="00607330">
        <w:rPr>
          <w:sz w:val="22"/>
          <w:szCs w:val="22"/>
        </w:rPr>
        <w:t xml:space="preserve">CF e P.IVA </w:t>
      </w:r>
      <w:r w:rsidR="00367DF2" w:rsidRPr="00607330">
        <w:rPr>
          <w:sz w:val="22"/>
          <w:szCs w:val="22"/>
        </w:rPr>
        <w:t>__________________________________________________________________</w:t>
      </w:r>
      <w:r w:rsidR="002977FA" w:rsidRPr="00607330">
        <w:rPr>
          <w:sz w:val="22"/>
          <w:szCs w:val="22"/>
        </w:rPr>
        <w:t xml:space="preserve">. </w:t>
      </w:r>
    </w:p>
    <w:p w14:paraId="4DDDDFD6" w14:textId="77777777" w:rsidR="00607330" w:rsidRPr="00607330" w:rsidRDefault="00607330" w:rsidP="008A384D">
      <w:pPr>
        <w:pStyle w:val="Default"/>
        <w:spacing w:line="276" w:lineRule="auto"/>
        <w:jc w:val="both"/>
        <w:rPr>
          <w:sz w:val="22"/>
          <w:szCs w:val="22"/>
        </w:rPr>
      </w:pPr>
    </w:p>
    <w:p w14:paraId="3C6FE090" w14:textId="7EAE25B4" w:rsidR="00367DF2" w:rsidRPr="00607330" w:rsidRDefault="00367DF2" w:rsidP="008A384D">
      <w:pPr>
        <w:spacing w:line="276" w:lineRule="auto"/>
        <w:jc w:val="center"/>
        <w:rPr>
          <w:rFonts w:ascii="Times New Roman" w:hAnsi="Times New Roman" w:cs="Times New Roman"/>
          <w:b/>
        </w:rPr>
      </w:pPr>
      <w:r w:rsidRPr="00607330">
        <w:rPr>
          <w:rFonts w:ascii="Times New Roman" w:hAnsi="Times New Roman" w:cs="Times New Roman"/>
          <w:b/>
        </w:rPr>
        <w:t>PREMESSO CHE:</w:t>
      </w:r>
    </w:p>
    <w:p w14:paraId="02B56EA5" w14:textId="58D794A7" w:rsidR="00367DF2" w:rsidRPr="00607330" w:rsidRDefault="00D763CF" w:rsidP="008A384D">
      <w:pPr>
        <w:pStyle w:val="Default"/>
        <w:spacing w:line="276" w:lineRule="auto"/>
        <w:jc w:val="both"/>
        <w:rPr>
          <w:sz w:val="22"/>
          <w:szCs w:val="22"/>
        </w:rPr>
      </w:pPr>
      <w:r w:rsidRPr="00607330">
        <w:rPr>
          <w:sz w:val="22"/>
          <w:szCs w:val="22"/>
        </w:rPr>
        <w:t>- l</w:t>
      </w:r>
      <w:r w:rsidR="00367DF2" w:rsidRPr="00607330">
        <w:rPr>
          <w:sz w:val="22"/>
          <w:szCs w:val="22"/>
        </w:rPr>
        <w:t xml:space="preserve">’amministrazione, </w:t>
      </w:r>
      <w:proofErr w:type="spellStart"/>
      <w:r w:rsidR="00367DF2" w:rsidRPr="00607330">
        <w:rPr>
          <w:sz w:val="22"/>
          <w:szCs w:val="22"/>
        </w:rPr>
        <w:t>n.q</w:t>
      </w:r>
      <w:proofErr w:type="spellEnd"/>
      <w:r w:rsidR="00367DF2" w:rsidRPr="00607330">
        <w:rPr>
          <w:sz w:val="22"/>
          <w:szCs w:val="22"/>
        </w:rPr>
        <w:t>. di Stazione Appaltante beneficiaria della procedura indicata in oggetto</w:t>
      </w:r>
      <w:r w:rsidRPr="00607330">
        <w:rPr>
          <w:sz w:val="22"/>
          <w:szCs w:val="22"/>
        </w:rPr>
        <w:t xml:space="preserve">, con determina a contrarre n. 346 del 31/10/2025, adottata ai sensi dell’art. 17, comma 1 del </w:t>
      </w:r>
      <w:proofErr w:type="gramStart"/>
      <w:r w:rsidRPr="00607330">
        <w:rPr>
          <w:sz w:val="22"/>
          <w:szCs w:val="22"/>
        </w:rPr>
        <w:t>D.Lgs</w:t>
      </w:r>
      <w:proofErr w:type="gramEnd"/>
      <w:r w:rsidRPr="00607330">
        <w:rPr>
          <w:sz w:val="22"/>
          <w:szCs w:val="22"/>
        </w:rPr>
        <w:t xml:space="preserve">. 36/2023 e ss.mm.ii., ha autorizzato l’espletamento della procedura di gara avente ad oggetto l’affidamento in concessione, </w:t>
      </w:r>
      <w:r w:rsidRPr="00607330">
        <w:rPr>
          <w:i/>
          <w:sz w:val="22"/>
          <w:szCs w:val="22"/>
        </w:rPr>
        <w:t>ex</w:t>
      </w:r>
      <w:r w:rsidRPr="00607330">
        <w:rPr>
          <w:sz w:val="22"/>
          <w:szCs w:val="22"/>
        </w:rPr>
        <w:t xml:space="preserve"> artt. 176 e ss. del </w:t>
      </w:r>
      <w:proofErr w:type="gramStart"/>
      <w:r w:rsidRPr="00607330">
        <w:rPr>
          <w:sz w:val="22"/>
          <w:szCs w:val="22"/>
        </w:rPr>
        <w:t>D.Lgs</w:t>
      </w:r>
      <w:proofErr w:type="gramEnd"/>
      <w:r w:rsidRPr="00607330">
        <w:rPr>
          <w:sz w:val="22"/>
          <w:szCs w:val="22"/>
        </w:rPr>
        <w:t xml:space="preserve">. 36/2023 e ss.mm.ii., della gestione integrata dei servizi al pubblico di cui all’art. 117 del </w:t>
      </w:r>
      <w:proofErr w:type="gramStart"/>
      <w:r w:rsidRPr="00607330">
        <w:rPr>
          <w:sz w:val="22"/>
          <w:szCs w:val="22"/>
        </w:rPr>
        <w:t>D.Lgs</w:t>
      </w:r>
      <w:proofErr w:type="gramEnd"/>
      <w:r w:rsidRPr="00607330">
        <w:rPr>
          <w:sz w:val="22"/>
          <w:szCs w:val="22"/>
        </w:rPr>
        <w:t xml:space="preserve">. 42/2004 (servizi di biglietteria, di assistenza culturale e di ospitalità) dei siti culturali della provincia di Siracusa (Parco Archeologico e Paesaggistico di Siracusa </w:t>
      </w:r>
      <w:proofErr w:type="spellStart"/>
      <w:r w:rsidRPr="00607330">
        <w:rPr>
          <w:sz w:val="22"/>
          <w:szCs w:val="22"/>
        </w:rPr>
        <w:t>Eloro</w:t>
      </w:r>
      <w:proofErr w:type="spellEnd"/>
      <w:r w:rsidRPr="00607330">
        <w:rPr>
          <w:sz w:val="22"/>
          <w:szCs w:val="22"/>
        </w:rPr>
        <w:t xml:space="preserve">, Villa del Tellaro e </w:t>
      </w:r>
      <w:proofErr w:type="spellStart"/>
      <w:r w:rsidRPr="00607330">
        <w:rPr>
          <w:sz w:val="22"/>
          <w:szCs w:val="22"/>
        </w:rPr>
        <w:t>Akrai</w:t>
      </w:r>
      <w:proofErr w:type="spellEnd"/>
      <w:r w:rsidRPr="00607330">
        <w:rPr>
          <w:sz w:val="22"/>
          <w:szCs w:val="22"/>
        </w:rPr>
        <w:t xml:space="preserve">), articolata in un unico lotto, di durata quadriennale e con ulteriore opzione di proroga biennale;   </w:t>
      </w:r>
    </w:p>
    <w:p w14:paraId="616EB01F" w14:textId="46BDB504" w:rsidR="00D763CF" w:rsidRPr="00607330" w:rsidRDefault="00D763CF" w:rsidP="008A384D">
      <w:pPr>
        <w:pStyle w:val="Default"/>
        <w:spacing w:line="276" w:lineRule="auto"/>
        <w:jc w:val="both"/>
        <w:rPr>
          <w:sz w:val="22"/>
          <w:szCs w:val="22"/>
        </w:rPr>
      </w:pPr>
      <w:r w:rsidRPr="00607330">
        <w:rPr>
          <w:sz w:val="22"/>
          <w:szCs w:val="22"/>
        </w:rPr>
        <w:t>- la procedura di gara aperta è stata espletata dall’Ufficio Speciale “</w:t>
      </w:r>
      <w:r w:rsidRPr="00607330">
        <w:rPr>
          <w:i/>
          <w:sz w:val="22"/>
          <w:szCs w:val="22"/>
        </w:rPr>
        <w:t>Centrale Unica di Committenza per l’acquisizione di beni e servizi della Regione Siciliana</w:t>
      </w:r>
      <w:r w:rsidRPr="00607330">
        <w:rPr>
          <w:sz w:val="22"/>
          <w:szCs w:val="22"/>
        </w:rPr>
        <w:t>”, ubicato presso l’Assessorato Regionale dell’Economia (di seguito, per brevità, anche C.U.C.R.S.), nella qualità di Stazione Appaltante qualificata;</w:t>
      </w:r>
    </w:p>
    <w:p w14:paraId="76D6289A" w14:textId="4BC79C45" w:rsidR="00D763CF" w:rsidRPr="00607330" w:rsidRDefault="008C5DA8" w:rsidP="008A384D">
      <w:pPr>
        <w:pStyle w:val="Default"/>
        <w:spacing w:line="276" w:lineRule="auto"/>
        <w:jc w:val="both"/>
        <w:rPr>
          <w:sz w:val="22"/>
          <w:szCs w:val="22"/>
        </w:rPr>
      </w:pPr>
      <w:r w:rsidRPr="00607330">
        <w:rPr>
          <w:sz w:val="22"/>
          <w:szCs w:val="22"/>
        </w:rPr>
        <w:t xml:space="preserve">- il RUP della C.U.C.R.S. ha proceduto all’approvazione della proposta di aggiudicazione e dei relativi verbali di gara della Commissione giudicatrice e ha avviato nei confronti dell’O.E aggiudicatario __________________________________, ai sensi del </w:t>
      </w:r>
      <w:proofErr w:type="gramStart"/>
      <w:r w:rsidRPr="00607330">
        <w:rPr>
          <w:sz w:val="22"/>
          <w:szCs w:val="22"/>
        </w:rPr>
        <w:t>D.Lgs</w:t>
      </w:r>
      <w:proofErr w:type="gramEnd"/>
      <w:r w:rsidRPr="00607330">
        <w:rPr>
          <w:sz w:val="22"/>
          <w:szCs w:val="22"/>
        </w:rPr>
        <w:t>. n. 159/2011 e ss.mm.ii., il controllo in ordine al possesso dei requisiti generali e speciali attraverso il FVOE 2.0., nonché le procedure per il rilascio dell’informativa antimafia prevista nei confronti dei soggetti di cui all’art. 94, comma 3, del Codice e dei rispettivi familiari maggiorenni conviventi;</w:t>
      </w:r>
    </w:p>
    <w:p w14:paraId="7D38466C" w14:textId="1B180AA0" w:rsidR="008C5DA8" w:rsidRPr="00607330" w:rsidRDefault="008C5DA8" w:rsidP="008A384D">
      <w:pPr>
        <w:pStyle w:val="Default"/>
        <w:spacing w:line="276" w:lineRule="auto"/>
        <w:jc w:val="both"/>
        <w:rPr>
          <w:sz w:val="22"/>
          <w:szCs w:val="22"/>
        </w:rPr>
      </w:pPr>
      <w:r w:rsidRPr="00607330">
        <w:rPr>
          <w:sz w:val="22"/>
          <w:szCs w:val="22"/>
        </w:rPr>
        <w:t>- la C.U.C.R.S. ha adottato il provvedimento di aggiudicazione, giusto D.D. n. ________ del _______;</w:t>
      </w:r>
    </w:p>
    <w:p w14:paraId="3DB6DA46" w14:textId="77777777" w:rsidR="00C161D0" w:rsidRPr="00607330" w:rsidRDefault="008C5DA8" w:rsidP="008A384D">
      <w:pPr>
        <w:pStyle w:val="Default"/>
        <w:spacing w:line="276" w:lineRule="auto"/>
        <w:jc w:val="both"/>
        <w:rPr>
          <w:bCs/>
          <w:iCs/>
          <w:sz w:val="22"/>
          <w:szCs w:val="22"/>
        </w:rPr>
      </w:pPr>
      <w:r w:rsidRPr="00607330">
        <w:rPr>
          <w:sz w:val="22"/>
          <w:szCs w:val="22"/>
        </w:rPr>
        <w:lastRenderedPageBreak/>
        <w:t xml:space="preserve">- il Parco, in qualità di stazione appaltante beneficiaria dell’appalto in argomento, con D.D. n. _______ del _________, ha preso atto delle risultanze di gara, </w:t>
      </w:r>
      <w:r w:rsidR="005F3197" w:rsidRPr="00607330">
        <w:rPr>
          <w:sz w:val="22"/>
          <w:szCs w:val="22"/>
        </w:rPr>
        <w:t>provvedendo alla conseguente individuazione dell’O.E. __________________ quale aggiudicatario del servizio in argomento, per l’importo complessivo di € ______________________ (euro /____________)</w:t>
      </w:r>
      <w:r w:rsidR="00C161D0" w:rsidRPr="00607330">
        <w:rPr>
          <w:sz w:val="22"/>
          <w:szCs w:val="22"/>
        </w:rPr>
        <w:t>,</w:t>
      </w:r>
      <w:r w:rsidR="005F3197" w:rsidRPr="00607330">
        <w:rPr>
          <w:sz w:val="22"/>
          <w:szCs w:val="22"/>
        </w:rPr>
        <w:t xml:space="preserve"> esclusa</w:t>
      </w:r>
      <w:r w:rsidR="00C161D0" w:rsidRPr="00607330">
        <w:rPr>
          <w:sz w:val="22"/>
          <w:szCs w:val="22"/>
        </w:rPr>
        <w:t xml:space="preserve"> </w:t>
      </w:r>
      <w:r w:rsidR="00C161D0" w:rsidRPr="00607330">
        <w:rPr>
          <w:bCs/>
          <w:iCs/>
          <w:sz w:val="22"/>
          <w:szCs w:val="22"/>
        </w:rPr>
        <w:t>Iva</w:t>
      </w:r>
      <w:r w:rsidR="00C161D0" w:rsidRPr="00607330">
        <w:rPr>
          <w:bCs/>
          <w:iCs/>
          <w:spacing w:val="27"/>
          <w:sz w:val="22"/>
          <w:szCs w:val="22"/>
        </w:rPr>
        <w:t xml:space="preserve"> </w:t>
      </w:r>
      <w:r w:rsidR="00C161D0" w:rsidRPr="00607330">
        <w:rPr>
          <w:bCs/>
          <w:iCs/>
          <w:sz w:val="22"/>
          <w:szCs w:val="22"/>
        </w:rPr>
        <w:t>e/o</w:t>
      </w:r>
      <w:r w:rsidR="00C161D0" w:rsidRPr="00607330">
        <w:rPr>
          <w:bCs/>
          <w:iCs/>
          <w:spacing w:val="28"/>
          <w:sz w:val="22"/>
          <w:szCs w:val="22"/>
        </w:rPr>
        <w:t xml:space="preserve"> </w:t>
      </w:r>
      <w:r w:rsidR="00C161D0" w:rsidRPr="00607330">
        <w:rPr>
          <w:bCs/>
          <w:iCs/>
          <w:sz w:val="22"/>
          <w:szCs w:val="22"/>
        </w:rPr>
        <w:t>di</w:t>
      </w:r>
      <w:r w:rsidR="00C161D0" w:rsidRPr="00607330">
        <w:rPr>
          <w:bCs/>
          <w:iCs/>
          <w:spacing w:val="26"/>
          <w:sz w:val="22"/>
          <w:szCs w:val="22"/>
        </w:rPr>
        <w:t xml:space="preserve"> </w:t>
      </w:r>
      <w:r w:rsidR="00C161D0" w:rsidRPr="00607330">
        <w:rPr>
          <w:bCs/>
          <w:iCs/>
          <w:sz w:val="22"/>
          <w:szCs w:val="22"/>
        </w:rPr>
        <w:t>altre</w:t>
      </w:r>
      <w:r w:rsidR="00C161D0" w:rsidRPr="00607330">
        <w:rPr>
          <w:bCs/>
          <w:iCs/>
          <w:spacing w:val="25"/>
          <w:sz w:val="22"/>
          <w:szCs w:val="22"/>
        </w:rPr>
        <w:t xml:space="preserve"> </w:t>
      </w:r>
      <w:r w:rsidR="00C161D0" w:rsidRPr="00607330">
        <w:rPr>
          <w:bCs/>
          <w:iCs/>
          <w:sz w:val="22"/>
          <w:szCs w:val="22"/>
        </w:rPr>
        <w:t>imposte</w:t>
      </w:r>
      <w:r w:rsidR="00C161D0" w:rsidRPr="00607330">
        <w:rPr>
          <w:bCs/>
          <w:iCs/>
          <w:spacing w:val="29"/>
          <w:sz w:val="22"/>
          <w:szCs w:val="22"/>
        </w:rPr>
        <w:t xml:space="preserve"> </w:t>
      </w:r>
      <w:r w:rsidR="00C161D0" w:rsidRPr="00607330">
        <w:rPr>
          <w:bCs/>
          <w:iCs/>
          <w:sz w:val="22"/>
          <w:szCs w:val="22"/>
        </w:rPr>
        <w:t>e contributi</w:t>
      </w:r>
      <w:r w:rsidR="00C161D0" w:rsidRPr="00607330">
        <w:rPr>
          <w:bCs/>
          <w:iCs/>
          <w:spacing w:val="-1"/>
          <w:sz w:val="22"/>
          <w:szCs w:val="22"/>
        </w:rPr>
        <w:t xml:space="preserve"> </w:t>
      </w:r>
      <w:r w:rsidR="00C161D0" w:rsidRPr="00607330">
        <w:rPr>
          <w:bCs/>
          <w:iCs/>
          <w:sz w:val="22"/>
          <w:szCs w:val="22"/>
        </w:rPr>
        <w:t>di legge,</w:t>
      </w:r>
      <w:r w:rsidR="00C161D0" w:rsidRPr="00607330">
        <w:rPr>
          <w:bCs/>
          <w:iCs/>
          <w:spacing w:val="-1"/>
          <w:sz w:val="22"/>
          <w:szCs w:val="22"/>
        </w:rPr>
        <w:t xml:space="preserve"> </w:t>
      </w:r>
      <w:r w:rsidR="00C161D0" w:rsidRPr="00607330">
        <w:rPr>
          <w:bCs/>
          <w:iCs/>
          <w:sz w:val="22"/>
          <w:szCs w:val="22"/>
        </w:rPr>
        <w:t>nonché</w:t>
      </w:r>
      <w:r w:rsidR="00C161D0" w:rsidRPr="00607330">
        <w:rPr>
          <w:bCs/>
          <w:iCs/>
          <w:spacing w:val="-1"/>
          <w:sz w:val="22"/>
          <w:szCs w:val="22"/>
        </w:rPr>
        <w:t xml:space="preserve"> </w:t>
      </w:r>
      <w:r w:rsidR="00C161D0" w:rsidRPr="00607330">
        <w:rPr>
          <w:bCs/>
          <w:iCs/>
          <w:sz w:val="22"/>
          <w:szCs w:val="22"/>
        </w:rPr>
        <w:t>degli</w:t>
      </w:r>
      <w:r w:rsidR="00C161D0" w:rsidRPr="00607330">
        <w:rPr>
          <w:bCs/>
          <w:iCs/>
          <w:spacing w:val="-1"/>
          <w:sz w:val="22"/>
          <w:szCs w:val="22"/>
        </w:rPr>
        <w:t xml:space="preserve"> </w:t>
      </w:r>
      <w:r w:rsidR="00C161D0" w:rsidRPr="00607330">
        <w:rPr>
          <w:bCs/>
          <w:iCs/>
          <w:sz w:val="22"/>
          <w:szCs w:val="22"/>
        </w:rPr>
        <w:t>oneri</w:t>
      </w:r>
      <w:r w:rsidR="00C161D0" w:rsidRPr="00607330">
        <w:rPr>
          <w:bCs/>
          <w:iCs/>
          <w:spacing w:val="-2"/>
          <w:sz w:val="22"/>
          <w:szCs w:val="22"/>
        </w:rPr>
        <w:t xml:space="preserve"> </w:t>
      </w:r>
      <w:r w:rsidR="00C161D0" w:rsidRPr="00607330">
        <w:rPr>
          <w:bCs/>
          <w:iCs/>
          <w:sz w:val="22"/>
          <w:szCs w:val="22"/>
        </w:rPr>
        <w:t>per la</w:t>
      </w:r>
      <w:r w:rsidR="00C161D0" w:rsidRPr="00607330">
        <w:rPr>
          <w:bCs/>
          <w:iCs/>
          <w:spacing w:val="-1"/>
          <w:sz w:val="22"/>
          <w:szCs w:val="22"/>
        </w:rPr>
        <w:t xml:space="preserve"> </w:t>
      </w:r>
      <w:r w:rsidR="00C161D0" w:rsidRPr="00607330">
        <w:rPr>
          <w:bCs/>
          <w:iCs/>
          <w:sz w:val="22"/>
          <w:szCs w:val="22"/>
        </w:rPr>
        <w:t>sicurezza dovuti a</w:t>
      </w:r>
      <w:r w:rsidR="00C161D0" w:rsidRPr="00607330">
        <w:rPr>
          <w:bCs/>
          <w:iCs/>
          <w:spacing w:val="-1"/>
          <w:sz w:val="22"/>
          <w:szCs w:val="22"/>
        </w:rPr>
        <w:t xml:space="preserve"> </w:t>
      </w:r>
      <w:r w:rsidR="00C161D0" w:rsidRPr="00607330">
        <w:rPr>
          <w:bCs/>
          <w:iCs/>
          <w:sz w:val="22"/>
          <w:szCs w:val="22"/>
        </w:rPr>
        <w:t>rischi da</w:t>
      </w:r>
      <w:r w:rsidR="00C161D0" w:rsidRPr="00607330">
        <w:rPr>
          <w:bCs/>
          <w:iCs/>
          <w:spacing w:val="-1"/>
          <w:sz w:val="22"/>
          <w:szCs w:val="22"/>
        </w:rPr>
        <w:t xml:space="preserve"> </w:t>
      </w:r>
      <w:r w:rsidR="00C161D0" w:rsidRPr="00607330">
        <w:rPr>
          <w:bCs/>
          <w:iCs/>
          <w:sz w:val="22"/>
          <w:szCs w:val="22"/>
        </w:rPr>
        <w:t>interferenze;</w:t>
      </w:r>
    </w:p>
    <w:p w14:paraId="7A2C4A55" w14:textId="44C8BD02" w:rsidR="00CD6FF9" w:rsidRPr="00607330" w:rsidRDefault="00C161D0" w:rsidP="008A384D">
      <w:pPr>
        <w:pStyle w:val="Default"/>
        <w:spacing w:line="276" w:lineRule="auto"/>
        <w:jc w:val="both"/>
        <w:rPr>
          <w:sz w:val="22"/>
          <w:szCs w:val="22"/>
        </w:rPr>
      </w:pPr>
      <w:r w:rsidRPr="00607330">
        <w:rPr>
          <w:bCs/>
          <w:iCs/>
          <w:sz w:val="22"/>
          <w:szCs w:val="22"/>
        </w:rPr>
        <w:t>- l’appalto in argomento</w:t>
      </w:r>
      <w:r w:rsidR="005F3197" w:rsidRPr="00607330">
        <w:rPr>
          <w:sz w:val="22"/>
          <w:szCs w:val="22"/>
        </w:rPr>
        <w:t xml:space="preserve"> è finanziato con fondi del bilancio del “Parco”, </w:t>
      </w:r>
      <w:r w:rsidR="00CD6FF9" w:rsidRPr="00607330">
        <w:rPr>
          <w:sz w:val="22"/>
          <w:szCs w:val="22"/>
        </w:rPr>
        <w:t xml:space="preserve">gravanti </w:t>
      </w:r>
      <w:r w:rsidR="005F3197" w:rsidRPr="00607330">
        <w:rPr>
          <w:sz w:val="22"/>
          <w:szCs w:val="22"/>
        </w:rPr>
        <w:t>sul cap. es. fin.</w:t>
      </w:r>
      <w:r w:rsidR="00CD6FF9" w:rsidRPr="00607330">
        <w:rPr>
          <w:sz w:val="22"/>
          <w:szCs w:val="22"/>
        </w:rPr>
        <w:t xml:space="preserve"> _______________;</w:t>
      </w:r>
    </w:p>
    <w:p w14:paraId="6407CC1E" w14:textId="6EC34443" w:rsidR="00A06509" w:rsidRPr="00607330" w:rsidRDefault="00A06509" w:rsidP="008A384D">
      <w:pPr>
        <w:pStyle w:val="Default"/>
        <w:spacing w:line="276" w:lineRule="auto"/>
        <w:jc w:val="both"/>
        <w:rPr>
          <w:sz w:val="22"/>
          <w:szCs w:val="22"/>
        </w:rPr>
      </w:pPr>
      <w:r w:rsidRPr="00607330">
        <w:rPr>
          <w:sz w:val="22"/>
          <w:szCs w:val="22"/>
        </w:rPr>
        <w:t xml:space="preserve">- è stato nominato, </w:t>
      </w:r>
      <w:proofErr w:type="spellStart"/>
      <w:r w:rsidRPr="00607330">
        <w:rPr>
          <w:sz w:val="22"/>
          <w:szCs w:val="22"/>
        </w:rPr>
        <w:t>n.q</w:t>
      </w:r>
      <w:proofErr w:type="spellEnd"/>
      <w:r w:rsidRPr="00607330">
        <w:rPr>
          <w:sz w:val="22"/>
          <w:szCs w:val="22"/>
        </w:rPr>
        <w:t>. di Direttore dell’Esecuzione (DEC), il ________________ giusto D.D. n. ____ del ______;</w:t>
      </w:r>
    </w:p>
    <w:p w14:paraId="1A23C513" w14:textId="53F30FB9" w:rsidR="00F93FF8" w:rsidRPr="00607330" w:rsidRDefault="00F93FF8" w:rsidP="008A384D">
      <w:pPr>
        <w:pStyle w:val="Default"/>
        <w:spacing w:line="276" w:lineRule="auto"/>
        <w:jc w:val="both"/>
        <w:rPr>
          <w:sz w:val="22"/>
          <w:szCs w:val="22"/>
        </w:rPr>
      </w:pPr>
      <w:r w:rsidRPr="00607330">
        <w:rPr>
          <w:sz w:val="22"/>
          <w:szCs w:val="22"/>
        </w:rPr>
        <w:t>- nella considerazione che sono trascorsi più di 30 giorni dalla data di avvio della procedura di rilascio dell'informativa antimafia liberatoria richiesta dalla C.U.C.R.S., può procedersi alla stipulazione del presente contratto sotto la condizione risolutiva di legge nel caso che l'Informativa antimafia denoti ragioni di decadenza, di sospensione o di divieto previste dall'articolo 67 del codice delle leggi antimafia e delle misure di prevenzione di cui al decreto legislativo 6 settembre 2011, n. 159 e ss.mm.ii. o di un tentativo di infiltrazione mafiosa di cui all'articolo 84, comma 4, della medesima norma; &lt;</w:t>
      </w:r>
      <w:r w:rsidRPr="00607330">
        <w:rPr>
          <w:b/>
          <w:sz w:val="22"/>
          <w:szCs w:val="22"/>
        </w:rPr>
        <w:t>Ovvero</w:t>
      </w:r>
      <w:r w:rsidRPr="00607330">
        <w:rPr>
          <w:sz w:val="22"/>
          <w:szCs w:val="22"/>
        </w:rPr>
        <w:t>&gt; l'informativa antimafia liberatoria richiesta dalla C.U.C.R.S. è stata rilasciata dall'organo competente senza alcuna indicazione di cause ostative alla stipula del presente</w:t>
      </w:r>
      <w:r w:rsidR="00A543ED" w:rsidRPr="00607330">
        <w:rPr>
          <w:sz w:val="22"/>
          <w:szCs w:val="22"/>
        </w:rPr>
        <w:t xml:space="preserve"> contratto.</w:t>
      </w:r>
    </w:p>
    <w:p w14:paraId="2EAF1974" w14:textId="77777777" w:rsidR="00A543ED" w:rsidRPr="00607330" w:rsidRDefault="00A543ED" w:rsidP="008A384D">
      <w:pPr>
        <w:pStyle w:val="Default"/>
        <w:spacing w:line="276" w:lineRule="auto"/>
        <w:jc w:val="both"/>
        <w:rPr>
          <w:sz w:val="22"/>
          <w:szCs w:val="22"/>
        </w:rPr>
      </w:pPr>
    </w:p>
    <w:p w14:paraId="4ED808EF" w14:textId="77777777" w:rsidR="00F93FF8" w:rsidRPr="00607330" w:rsidRDefault="00F93FF8" w:rsidP="00F93FF8">
      <w:pPr>
        <w:pStyle w:val="Default"/>
        <w:spacing w:line="276" w:lineRule="auto"/>
        <w:jc w:val="center"/>
        <w:rPr>
          <w:b/>
          <w:sz w:val="22"/>
          <w:szCs w:val="22"/>
        </w:rPr>
      </w:pPr>
      <w:r w:rsidRPr="00607330">
        <w:rPr>
          <w:b/>
          <w:sz w:val="22"/>
          <w:szCs w:val="22"/>
        </w:rPr>
        <w:t>TUTTO CIÒ PREMESSO, TRA LE PARTI COME IN EPIGRAFE RAPPRESENTATE E DOMICILIATE, SI CONVIENE E SI STIPULA QUANTO SEGUE</w:t>
      </w:r>
    </w:p>
    <w:p w14:paraId="66EA87F8" w14:textId="19C448A6" w:rsidR="00F93FF8" w:rsidRPr="00607330" w:rsidRDefault="00F93FF8" w:rsidP="00737F23">
      <w:pPr>
        <w:pStyle w:val="Default"/>
        <w:spacing w:line="360" w:lineRule="auto"/>
        <w:jc w:val="both"/>
        <w:rPr>
          <w:sz w:val="22"/>
          <w:szCs w:val="22"/>
        </w:rPr>
      </w:pPr>
    </w:p>
    <w:p w14:paraId="04C0A76C" w14:textId="3CCAB081" w:rsidR="003C3C5A" w:rsidRPr="00607330" w:rsidRDefault="003C3C5A" w:rsidP="003C3C5A">
      <w:pPr>
        <w:pStyle w:val="Default"/>
        <w:spacing w:line="276" w:lineRule="auto"/>
        <w:jc w:val="center"/>
        <w:rPr>
          <w:b/>
          <w:bCs/>
          <w:sz w:val="22"/>
          <w:szCs w:val="22"/>
        </w:rPr>
      </w:pPr>
      <w:r w:rsidRPr="00607330">
        <w:rPr>
          <w:b/>
          <w:bCs/>
          <w:sz w:val="22"/>
          <w:szCs w:val="22"/>
        </w:rPr>
        <w:t xml:space="preserve">ART. 1 – OGGETTO DELLA CONCESSIONE </w:t>
      </w:r>
    </w:p>
    <w:p w14:paraId="78D9E2DA" w14:textId="51C216C7" w:rsidR="008A384D" w:rsidRPr="00607330" w:rsidRDefault="003C3C5A" w:rsidP="00D72E40">
      <w:pPr>
        <w:pStyle w:val="Default"/>
        <w:spacing w:line="276" w:lineRule="auto"/>
        <w:jc w:val="both"/>
        <w:rPr>
          <w:sz w:val="22"/>
          <w:szCs w:val="22"/>
        </w:rPr>
      </w:pPr>
      <w:r w:rsidRPr="00607330">
        <w:rPr>
          <w:sz w:val="22"/>
          <w:szCs w:val="22"/>
        </w:rPr>
        <w:t>Il Parco, rappresentato come sopra, dà in appalto alla ditta _______________________________che, come sopra rappresentata, accetta il servizio in epigrafe indicato in conformità a quanto previsto nel disciplinare di gara, nel capitolato tecnico e nei relativi allegati che, sebbene non allegati al presente contratto, le parti dichiarano di ben conoscere ed accettare</w:t>
      </w:r>
      <w:r w:rsidR="001945CE" w:rsidRPr="00607330">
        <w:rPr>
          <w:sz w:val="22"/>
          <w:szCs w:val="22"/>
        </w:rPr>
        <w:t>.</w:t>
      </w:r>
    </w:p>
    <w:p w14:paraId="3FABD152" w14:textId="153F9A26" w:rsidR="003C3C5A" w:rsidRPr="00607330" w:rsidRDefault="003C3C5A" w:rsidP="003C3C5A">
      <w:pPr>
        <w:pStyle w:val="Default"/>
        <w:spacing w:line="276" w:lineRule="auto"/>
        <w:jc w:val="center"/>
        <w:rPr>
          <w:b/>
          <w:bCs/>
          <w:sz w:val="22"/>
          <w:szCs w:val="22"/>
        </w:rPr>
      </w:pPr>
      <w:r w:rsidRPr="00607330">
        <w:rPr>
          <w:b/>
          <w:bCs/>
          <w:sz w:val="22"/>
          <w:szCs w:val="22"/>
        </w:rPr>
        <w:t>ART. 2 - CANONI</w:t>
      </w:r>
    </w:p>
    <w:p w14:paraId="5EE20ED0" w14:textId="4322D26A" w:rsidR="00752C79" w:rsidRPr="00607330" w:rsidRDefault="003C3C5A" w:rsidP="00752C79">
      <w:pPr>
        <w:pStyle w:val="Default"/>
        <w:spacing w:line="276" w:lineRule="auto"/>
        <w:jc w:val="both"/>
        <w:rPr>
          <w:sz w:val="22"/>
          <w:szCs w:val="22"/>
        </w:rPr>
      </w:pPr>
      <w:r w:rsidRPr="00607330">
        <w:rPr>
          <w:sz w:val="22"/>
          <w:szCs w:val="22"/>
        </w:rPr>
        <w:t>Il servizio viene eseguito con i seguenti canoni, aggi e royalty __________________________per un importo così dettagliato €______________________ (euro ________________________/________) oltre ad € ___________ (euro ____________/___________) per oneri per la sicurezza e</w:t>
      </w:r>
      <w:r w:rsidR="00752C79" w:rsidRPr="00607330">
        <w:rPr>
          <w:sz w:val="22"/>
          <w:szCs w:val="22"/>
        </w:rPr>
        <w:t>d</w:t>
      </w:r>
      <w:r w:rsidRPr="00607330">
        <w:rPr>
          <w:sz w:val="22"/>
          <w:szCs w:val="22"/>
        </w:rPr>
        <w:t xml:space="preserve"> €</w:t>
      </w:r>
      <w:r w:rsidR="00752C79" w:rsidRPr="00607330">
        <w:rPr>
          <w:sz w:val="22"/>
          <w:szCs w:val="22"/>
        </w:rPr>
        <w:t xml:space="preserve"> __________________/__________________</w:t>
      </w:r>
      <w:r w:rsidRPr="00607330">
        <w:rPr>
          <w:sz w:val="22"/>
          <w:szCs w:val="22"/>
        </w:rPr>
        <w:t xml:space="preserve">  (euro </w:t>
      </w:r>
      <w:r w:rsidR="00752C79" w:rsidRPr="00607330">
        <w:rPr>
          <w:sz w:val="22"/>
          <w:szCs w:val="22"/>
        </w:rPr>
        <w:t>___________/_________</w:t>
      </w:r>
      <w:r w:rsidRPr="00607330">
        <w:rPr>
          <w:sz w:val="22"/>
          <w:szCs w:val="22"/>
        </w:rPr>
        <w:t xml:space="preserve">) per costi manodopera, entrambi non soggetti a ribasso, per un importo complessivo di € </w:t>
      </w:r>
      <w:r w:rsidR="00752C79" w:rsidRPr="00607330">
        <w:rPr>
          <w:sz w:val="22"/>
          <w:szCs w:val="22"/>
        </w:rPr>
        <w:t xml:space="preserve">______________ </w:t>
      </w:r>
      <w:r w:rsidRPr="00607330">
        <w:rPr>
          <w:sz w:val="22"/>
          <w:szCs w:val="22"/>
        </w:rPr>
        <w:t xml:space="preserve">(euro </w:t>
      </w:r>
      <w:r w:rsidR="00752C79" w:rsidRPr="00607330">
        <w:rPr>
          <w:sz w:val="22"/>
          <w:szCs w:val="22"/>
        </w:rPr>
        <w:t>______________</w:t>
      </w:r>
      <w:r w:rsidRPr="00607330">
        <w:rPr>
          <w:sz w:val="22"/>
          <w:szCs w:val="22"/>
        </w:rPr>
        <w:t>/</w:t>
      </w:r>
      <w:r w:rsidR="00752C79" w:rsidRPr="00607330">
        <w:rPr>
          <w:sz w:val="22"/>
          <w:szCs w:val="22"/>
        </w:rPr>
        <w:t>_____________</w:t>
      </w:r>
      <w:r w:rsidRPr="00607330">
        <w:rPr>
          <w:sz w:val="22"/>
          <w:szCs w:val="22"/>
        </w:rPr>
        <w:t>), come da offerta economica che, sebbene non allegata al presente contratto, le parti dichiarano</w:t>
      </w:r>
      <w:r w:rsidR="001945CE" w:rsidRPr="00607330">
        <w:rPr>
          <w:sz w:val="22"/>
          <w:szCs w:val="22"/>
        </w:rPr>
        <w:t xml:space="preserve"> di ben conoscere ed accettare.</w:t>
      </w:r>
    </w:p>
    <w:p w14:paraId="215F39C0" w14:textId="39CC50A1" w:rsidR="00752C79" w:rsidRPr="00607330" w:rsidRDefault="00752C79" w:rsidP="00752C79">
      <w:pPr>
        <w:pStyle w:val="Default"/>
        <w:spacing w:line="276" w:lineRule="auto"/>
        <w:jc w:val="center"/>
        <w:rPr>
          <w:b/>
          <w:bCs/>
          <w:sz w:val="22"/>
          <w:szCs w:val="22"/>
        </w:rPr>
      </w:pPr>
      <w:r w:rsidRPr="00607330">
        <w:rPr>
          <w:b/>
          <w:bCs/>
          <w:sz w:val="22"/>
          <w:szCs w:val="22"/>
        </w:rPr>
        <w:t>ART. 3</w:t>
      </w:r>
      <w:r w:rsidR="008A384D" w:rsidRPr="00607330">
        <w:rPr>
          <w:b/>
          <w:bCs/>
          <w:sz w:val="22"/>
          <w:szCs w:val="22"/>
        </w:rPr>
        <w:t xml:space="preserve"> </w:t>
      </w:r>
      <w:r w:rsidR="001945CE" w:rsidRPr="00607330">
        <w:rPr>
          <w:b/>
          <w:bCs/>
          <w:sz w:val="22"/>
          <w:szCs w:val="22"/>
        </w:rPr>
        <w:t>–</w:t>
      </w:r>
      <w:r w:rsidR="008A384D" w:rsidRPr="00607330">
        <w:rPr>
          <w:b/>
          <w:bCs/>
          <w:sz w:val="22"/>
          <w:szCs w:val="22"/>
        </w:rPr>
        <w:t xml:space="preserve"> GARANZIA</w:t>
      </w:r>
      <w:r w:rsidR="001945CE" w:rsidRPr="00607330">
        <w:rPr>
          <w:b/>
          <w:bCs/>
          <w:sz w:val="22"/>
          <w:szCs w:val="22"/>
        </w:rPr>
        <w:t xml:space="preserve"> DEFINITIVA</w:t>
      </w:r>
    </w:p>
    <w:p w14:paraId="74479E2F" w14:textId="5A0F6C0B" w:rsidR="008A384D" w:rsidRPr="00607330" w:rsidRDefault="00752C79" w:rsidP="00D72E40">
      <w:pPr>
        <w:pStyle w:val="Default"/>
        <w:spacing w:line="276" w:lineRule="auto"/>
        <w:jc w:val="both"/>
        <w:rPr>
          <w:sz w:val="22"/>
          <w:szCs w:val="22"/>
        </w:rPr>
      </w:pPr>
      <w:r w:rsidRPr="00607330">
        <w:rPr>
          <w:sz w:val="22"/>
          <w:szCs w:val="22"/>
        </w:rPr>
        <w:t>A garanzia degli adempimenti di tutte le obbligazioni derivanti dal presente contratto l’O.E _______________________, ha costituito per la ca</w:t>
      </w:r>
      <w:r w:rsidR="00E54FE8" w:rsidRPr="00607330">
        <w:rPr>
          <w:sz w:val="22"/>
          <w:szCs w:val="22"/>
        </w:rPr>
        <w:t>uzione definitiva, polizza fidei</w:t>
      </w:r>
      <w:r w:rsidRPr="00607330">
        <w:rPr>
          <w:sz w:val="22"/>
          <w:szCs w:val="22"/>
        </w:rPr>
        <w:t xml:space="preserve">ussoria n. </w:t>
      </w:r>
      <w:r w:rsidR="00E54FE8" w:rsidRPr="00607330">
        <w:rPr>
          <w:sz w:val="22"/>
          <w:szCs w:val="22"/>
        </w:rPr>
        <w:t>____________</w:t>
      </w:r>
      <w:r w:rsidRPr="00607330">
        <w:rPr>
          <w:sz w:val="22"/>
          <w:szCs w:val="22"/>
        </w:rPr>
        <w:t xml:space="preserve"> del </w:t>
      </w:r>
      <w:r w:rsidR="00E54FE8" w:rsidRPr="00607330">
        <w:rPr>
          <w:sz w:val="22"/>
          <w:szCs w:val="22"/>
        </w:rPr>
        <w:t>__________________</w:t>
      </w:r>
      <w:r w:rsidRPr="00607330">
        <w:rPr>
          <w:sz w:val="22"/>
          <w:szCs w:val="22"/>
        </w:rPr>
        <w:t xml:space="preserve"> rilasciata dalla </w:t>
      </w:r>
      <w:r w:rsidR="00E54FE8" w:rsidRPr="00607330">
        <w:rPr>
          <w:sz w:val="22"/>
          <w:szCs w:val="22"/>
        </w:rPr>
        <w:t>____________________</w:t>
      </w:r>
      <w:r w:rsidRPr="00607330">
        <w:rPr>
          <w:sz w:val="22"/>
          <w:szCs w:val="22"/>
        </w:rPr>
        <w:t xml:space="preserve">, che si conserva agli atti di questa Amministrazione. </w:t>
      </w:r>
    </w:p>
    <w:p w14:paraId="58BC8C78" w14:textId="20EB8FE0" w:rsidR="00E54FE8" w:rsidRPr="00607330" w:rsidRDefault="001A4457" w:rsidP="00E54FE8">
      <w:pPr>
        <w:pStyle w:val="Default"/>
        <w:spacing w:line="360" w:lineRule="auto"/>
        <w:jc w:val="center"/>
        <w:rPr>
          <w:b/>
          <w:sz w:val="22"/>
          <w:szCs w:val="22"/>
        </w:rPr>
      </w:pPr>
      <w:r w:rsidRPr="00607330">
        <w:rPr>
          <w:b/>
          <w:sz w:val="22"/>
          <w:szCs w:val="22"/>
        </w:rPr>
        <w:t>ART. 4</w:t>
      </w:r>
      <w:r w:rsidR="00E54FE8" w:rsidRPr="00607330">
        <w:rPr>
          <w:b/>
          <w:sz w:val="22"/>
          <w:szCs w:val="22"/>
        </w:rPr>
        <w:t xml:space="preserve"> COPERTURA ASSICURATIVA</w:t>
      </w:r>
    </w:p>
    <w:p w14:paraId="5465BD0C" w14:textId="134D44F9" w:rsidR="00E54FE8" w:rsidRPr="00607330" w:rsidRDefault="0082393E" w:rsidP="001945CE">
      <w:pPr>
        <w:pStyle w:val="Default"/>
        <w:spacing w:line="276" w:lineRule="auto"/>
        <w:jc w:val="both"/>
        <w:rPr>
          <w:sz w:val="22"/>
          <w:szCs w:val="22"/>
        </w:rPr>
      </w:pPr>
      <w:r w:rsidRPr="00607330">
        <w:rPr>
          <w:sz w:val="22"/>
          <w:szCs w:val="22"/>
        </w:rPr>
        <w:t>Come previsto dall’art. 25</w:t>
      </w:r>
      <w:r w:rsidR="00E54FE8" w:rsidRPr="00607330">
        <w:rPr>
          <w:sz w:val="22"/>
          <w:szCs w:val="22"/>
        </w:rPr>
        <w:t xml:space="preserve"> del capitolato tecnico, la ditta</w:t>
      </w:r>
      <w:r w:rsidR="00BD778D" w:rsidRPr="00607330">
        <w:rPr>
          <w:sz w:val="22"/>
          <w:szCs w:val="22"/>
        </w:rPr>
        <w:t xml:space="preserve"> concessionaria </w:t>
      </w:r>
      <w:r w:rsidR="00E54FE8" w:rsidRPr="00607330">
        <w:rPr>
          <w:sz w:val="22"/>
          <w:szCs w:val="22"/>
        </w:rPr>
        <w:t>____________________ ha costituito una polizza di assicurazione, pari ad € 3.000.000,00, avente n. __________________ e data ________________________</w:t>
      </w:r>
      <w:r w:rsidR="000C117D" w:rsidRPr="00607330">
        <w:rPr>
          <w:sz w:val="22"/>
          <w:szCs w:val="22"/>
        </w:rPr>
        <w:t xml:space="preserve">, </w:t>
      </w:r>
      <w:r w:rsidR="00E54FE8" w:rsidRPr="00607330">
        <w:rPr>
          <w:sz w:val="22"/>
          <w:szCs w:val="22"/>
        </w:rPr>
        <w:t xml:space="preserve">a copertura dei danni subiti dalla stazione appaltante beneficiaria </w:t>
      </w:r>
      <w:r w:rsidR="000C117D" w:rsidRPr="00607330">
        <w:rPr>
          <w:sz w:val="22"/>
          <w:szCs w:val="22"/>
        </w:rPr>
        <w:t xml:space="preserve">a causa del danneggiamento o della distruzione totale o parziale di impianti ed opere, anche preesistenti, verificatisi nel corso dell’esecuzione del servizio. Tale polizza assicura il Parco contro la </w:t>
      </w:r>
      <w:r w:rsidR="00E54FE8" w:rsidRPr="00607330">
        <w:rPr>
          <w:sz w:val="22"/>
          <w:szCs w:val="22"/>
        </w:rPr>
        <w:t xml:space="preserve">responsabilità civile per danni causati a terzi , compreso il concedente, nel corso dell’esecuzione della concessione ed in conseguenza di fatti che possano verificarsi in conseguenza dell’attività svolta  comprese tutte le attività accessorie e complementari, nessuna esclusa, né eccettuata, nonché per la copertura della responsabilità civile (RCO) verso i prestatori di lavoro per infortuni sofferti da prestatori di lavoro addetti all’attività svolta, inclusi i soci lavoratori, i prestatori d'opera parasubordinati, e comunque tutte le persone per le quali sussista l'obbligo di assicurazione obbligatoria INAIL, dipendenti e non, delle quali il Concessionario si avvalga, in relazione a </w:t>
      </w:r>
      <w:r w:rsidR="00E54FE8" w:rsidRPr="00607330">
        <w:rPr>
          <w:sz w:val="22"/>
          <w:szCs w:val="22"/>
        </w:rPr>
        <w:lastRenderedPageBreak/>
        <w:t>tutte le operazioni ed attività connesse al presente contratto e per tutta la durata dello stesso.  La copertura assicurativa decorre dalla data di consegna della concessione e cessa alla data di emissione del certificato di collaudo provvisorio o del certificato di regolare esecuzione o comunque decorsi 12 mesi dalla data di ultimazione dei lavori risultante dal relativo certificato.</w:t>
      </w:r>
    </w:p>
    <w:p w14:paraId="2E5CD9ED" w14:textId="2133C5EA" w:rsidR="00E54FE8" w:rsidRPr="00607330" w:rsidRDefault="00E54FE8" w:rsidP="00D72E40">
      <w:pPr>
        <w:pStyle w:val="Default"/>
        <w:spacing w:line="276" w:lineRule="auto"/>
        <w:jc w:val="both"/>
        <w:rPr>
          <w:sz w:val="22"/>
          <w:szCs w:val="22"/>
        </w:rPr>
      </w:pPr>
      <w:r w:rsidRPr="00607330">
        <w:rPr>
          <w:sz w:val="22"/>
          <w:szCs w:val="22"/>
        </w:rPr>
        <w:t xml:space="preserve"> L'omesso o il ritardato pagamento delle somme dovute a titolo di premio o di commissione da parte dell'esecutore non comporta l'inefficacia della garanzia nei confronti della stazione appaltante. Le garanzie fideiussorie e le polizze assicurative di cui sopra devono essere conformi agli schemi tipo approvati con decreto del Ministro delle imprese e del made in </w:t>
      </w:r>
      <w:proofErr w:type="spellStart"/>
      <w:r w:rsidRPr="00607330">
        <w:rPr>
          <w:sz w:val="22"/>
          <w:szCs w:val="22"/>
        </w:rPr>
        <w:t>Italy</w:t>
      </w:r>
      <w:proofErr w:type="spellEnd"/>
      <w:r w:rsidRPr="00607330">
        <w:rPr>
          <w:sz w:val="22"/>
          <w:szCs w:val="22"/>
        </w:rPr>
        <w:t xml:space="preserve"> di concerto con il Ministro delle infrastrutture e dei trasporti e con il Ministro dell’economia e delle finanze. Le garanzie fideiussorie prevedono la rivalsa verso il contraente e il diritto di regresso verso la stazione appaltante per l'eventuale indebito arricchimento e possono essere rilasciate congiuntamente da più garanti. I garanti designano un mandatario o un delegatario per i rapporti con la stazione appaltante.</w:t>
      </w:r>
    </w:p>
    <w:p w14:paraId="4C52CBF7" w14:textId="7A6596D1" w:rsidR="00607330" w:rsidRPr="00607330" w:rsidRDefault="001A4457" w:rsidP="00607330">
      <w:pPr>
        <w:pStyle w:val="Default"/>
        <w:spacing w:line="276" w:lineRule="auto"/>
        <w:jc w:val="center"/>
        <w:rPr>
          <w:b/>
          <w:bCs/>
          <w:color w:val="auto"/>
          <w:sz w:val="22"/>
          <w:szCs w:val="22"/>
        </w:rPr>
      </w:pPr>
      <w:r w:rsidRPr="00607330">
        <w:rPr>
          <w:b/>
          <w:bCs/>
          <w:color w:val="auto"/>
          <w:sz w:val="22"/>
          <w:szCs w:val="22"/>
        </w:rPr>
        <w:t>ART. 5 – RETROCESSIONE DEGLI INCASSI</w:t>
      </w:r>
      <w:r w:rsidR="00607330" w:rsidRPr="00607330">
        <w:rPr>
          <w:b/>
          <w:bCs/>
          <w:color w:val="auto"/>
          <w:sz w:val="22"/>
          <w:szCs w:val="22"/>
        </w:rPr>
        <w:t xml:space="preserve"> </w:t>
      </w:r>
      <w:r w:rsidR="00607330" w:rsidRPr="00607330">
        <w:rPr>
          <w:b/>
          <w:color w:val="auto"/>
          <w:sz w:val="22"/>
          <w:szCs w:val="22"/>
        </w:rPr>
        <w:t>DI BIGLIETTERIA E RIMBORSI</w:t>
      </w:r>
    </w:p>
    <w:p w14:paraId="1F67B0A7" w14:textId="28FD4F2F" w:rsidR="00607330" w:rsidRPr="00607330" w:rsidRDefault="00607330" w:rsidP="00607330">
      <w:pPr>
        <w:pStyle w:val="Default"/>
        <w:spacing w:line="276" w:lineRule="auto"/>
        <w:jc w:val="both"/>
        <w:rPr>
          <w:color w:val="auto"/>
          <w:sz w:val="22"/>
          <w:szCs w:val="22"/>
        </w:rPr>
      </w:pPr>
      <w:r w:rsidRPr="00607330">
        <w:rPr>
          <w:color w:val="auto"/>
          <w:sz w:val="22"/>
          <w:szCs w:val="22"/>
        </w:rPr>
        <w:t xml:space="preserve">   5.1 Il Concessionario retrocede al concedente le somme derivanti dalla vendita dei titoli d'accesso e ha diritto, a titolo di corrispettivo, ad un Aggio corrispondente ad una percentuale sul monte incassi della vendita dei biglietti; tale percentuale corrisponde al valore indicato nel Disciplinare di gara ribassato in sede di offerta. </w:t>
      </w:r>
    </w:p>
    <w:p w14:paraId="67F0C783" w14:textId="77777777" w:rsidR="00607330" w:rsidRPr="00607330" w:rsidRDefault="00607330" w:rsidP="00607330">
      <w:pPr>
        <w:pStyle w:val="Default"/>
        <w:spacing w:line="276" w:lineRule="auto"/>
        <w:jc w:val="both"/>
        <w:rPr>
          <w:color w:val="auto"/>
          <w:sz w:val="22"/>
          <w:szCs w:val="22"/>
        </w:rPr>
      </w:pPr>
      <w:r w:rsidRPr="00607330">
        <w:rPr>
          <w:color w:val="auto"/>
          <w:sz w:val="22"/>
          <w:szCs w:val="22"/>
        </w:rPr>
        <w:t xml:space="preserve">La retrocessione degli incassi di biglietteria è dovuta a decorrere dalla data di sottoscrizione del Verbale di Avvio dell'esecuzione del Contratto. Il Concessionario agirà come Agente Contabile per conto delle Amministrazioni con predisposizione del Conto Giudiziale, conformemente alla normativa di settore e in particolare agli artt. 178 e 610 del R.D. n. 827 /1924. </w:t>
      </w:r>
    </w:p>
    <w:p w14:paraId="1B22EC6C" w14:textId="77777777" w:rsidR="00607330" w:rsidRPr="00607330" w:rsidRDefault="00607330" w:rsidP="00607330">
      <w:pPr>
        <w:pStyle w:val="Default"/>
        <w:spacing w:line="276" w:lineRule="auto"/>
        <w:jc w:val="both"/>
        <w:rPr>
          <w:color w:val="auto"/>
          <w:sz w:val="22"/>
          <w:szCs w:val="22"/>
        </w:rPr>
      </w:pPr>
      <w:r w:rsidRPr="00607330">
        <w:rPr>
          <w:color w:val="auto"/>
          <w:sz w:val="22"/>
          <w:szCs w:val="22"/>
        </w:rPr>
        <w:t xml:space="preserve">Non oltre il secondo giorno lavorativo successivo al giorno della materiale registrazione degli incassi, anche con riferimento ai biglietti non nominativi, con valuta in pari data, ovvero, se sabato o festivo, entro il primo giorno lavorativo successivo, il Concessionario versa l'ammontare degli incassi. </w:t>
      </w:r>
    </w:p>
    <w:p w14:paraId="25D49A11" w14:textId="77777777" w:rsidR="00607330" w:rsidRPr="00607330" w:rsidRDefault="00607330" w:rsidP="00607330">
      <w:pPr>
        <w:pStyle w:val="Default"/>
        <w:spacing w:line="276" w:lineRule="auto"/>
        <w:jc w:val="both"/>
        <w:rPr>
          <w:color w:val="auto"/>
          <w:sz w:val="22"/>
          <w:szCs w:val="22"/>
        </w:rPr>
      </w:pPr>
      <w:r w:rsidRPr="00607330">
        <w:rPr>
          <w:color w:val="auto"/>
          <w:sz w:val="22"/>
          <w:szCs w:val="22"/>
        </w:rPr>
        <w:t xml:space="preserve">Al termine delle operazioni di verifica da parte del concedente (Parco Archeologico e Paesaggistico di Siracusa </w:t>
      </w:r>
      <w:proofErr w:type="spellStart"/>
      <w:r w:rsidRPr="00607330">
        <w:rPr>
          <w:color w:val="auto"/>
          <w:sz w:val="22"/>
          <w:szCs w:val="22"/>
        </w:rPr>
        <w:t>Eloro</w:t>
      </w:r>
      <w:proofErr w:type="spellEnd"/>
      <w:r w:rsidRPr="00607330">
        <w:rPr>
          <w:color w:val="auto"/>
          <w:sz w:val="22"/>
          <w:szCs w:val="22"/>
        </w:rPr>
        <w:t xml:space="preserve">, Villa del Tellaro e </w:t>
      </w:r>
      <w:proofErr w:type="spellStart"/>
      <w:r w:rsidRPr="00607330">
        <w:rPr>
          <w:color w:val="auto"/>
          <w:sz w:val="22"/>
          <w:szCs w:val="22"/>
        </w:rPr>
        <w:t>Akrai</w:t>
      </w:r>
      <w:proofErr w:type="spellEnd"/>
      <w:r w:rsidRPr="00607330">
        <w:rPr>
          <w:color w:val="auto"/>
          <w:sz w:val="22"/>
          <w:szCs w:val="22"/>
        </w:rPr>
        <w:t xml:space="preserve">) e comunque entro il secondo giorno del mese successivo cui si riferiscono gli incassi, detto concedente verserà il corrispondente Aggio al Concessionario sul conto corrente dedicato alla Concessione. Prima del pagamento dell'Aggio, il Concessionario dovrà fornire il prospetto di riconciliazione che evidenzi quanto incassato a titolo di biglietti non nominativi e a titolo di biglietti nominativi. </w:t>
      </w:r>
    </w:p>
    <w:p w14:paraId="682745CE" w14:textId="77777777" w:rsidR="00607330" w:rsidRPr="00607330" w:rsidRDefault="00607330" w:rsidP="00607330">
      <w:pPr>
        <w:pStyle w:val="Default"/>
        <w:spacing w:line="276" w:lineRule="auto"/>
        <w:jc w:val="both"/>
        <w:rPr>
          <w:color w:val="auto"/>
          <w:sz w:val="22"/>
          <w:szCs w:val="22"/>
        </w:rPr>
      </w:pPr>
      <w:r w:rsidRPr="00607330">
        <w:rPr>
          <w:color w:val="auto"/>
          <w:sz w:val="22"/>
          <w:szCs w:val="22"/>
        </w:rPr>
        <w:t xml:space="preserve">Contestualmente al versamento, il Concessionario dovrà presentare una nota riassuntiva, con l'indicazione dell'importo versato. </w:t>
      </w:r>
    </w:p>
    <w:p w14:paraId="45ADE28D" w14:textId="77777777" w:rsidR="00607330" w:rsidRPr="00607330" w:rsidRDefault="00607330" w:rsidP="00607330">
      <w:pPr>
        <w:pStyle w:val="Default"/>
        <w:spacing w:line="276" w:lineRule="auto"/>
        <w:jc w:val="both"/>
        <w:rPr>
          <w:color w:val="auto"/>
          <w:sz w:val="22"/>
          <w:szCs w:val="22"/>
        </w:rPr>
      </w:pPr>
      <w:r w:rsidRPr="00607330">
        <w:rPr>
          <w:color w:val="auto"/>
          <w:sz w:val="22"/>
          <w:szCs w:val="22"/>
        </w:rPr>
        <w:t xml:space="preserve">La nota riassuntiva, in formato elettronico prodotta dal sistema di biglietteria equivalente a certificazione fiscale, dovrà contenere il dettaglio dei titoli emessi nel periodo di riferimento (con evidenza di circuito, comprese le eventuali card turistico-culturali, di tariffa, di tipologia, di quantità e dei corrispondenti valori economici), con l'indicazione degli importi versati al concedente e dell'Aggio maturato. </w:t>
      </w:r>
    </w:p>
    <w:p w14:paraId="3AD91895" w14:textId="77777777" w:rsidR="00607330" w:rsidRPr="00607330" w:rsidRDefault="00607330" w:rsidP="00607330">
      <w:pPr>
        <w:pStyle w:val="Default"/>
        <w:spacing w:line="276" w:lineRule="auto"/>
        <w:jc w:val="both"/>
        <w:rPr>
          <w:color w:val="auto"/>
          <w:sz w:val="22"/>
          <w:szCs w:val="22"/>
        </w:rPr>
      </w:pPr>
      <w:r w:rsidRPr="00607330">
        <w:rPr>
          <w:color w:val="auto"/>
          <w:sz w:val="22"/>
          <w:szCs w:val="22"/>
        </w:rPr>
        <w:t xml:space="preserve">In caso di ritardo nella retrocessione degli incassi dei titoli di accesso si applica la penale prevista al successivo art. 26. </w:t>
      </w:r>
    </w:p>
    <w:p w14:paraId="3590F268" w14:textId="77777777" w:rsidR="00607330" w:rsidRPr="00607330" w:rsidRDefault="00607330" w:rsidP="00607330">
      <w:pPr>
        <w:pStyle w:val="Default"/>
        <w:spacing w:line="276" w:lineRule="auto"/>
        <w:jc w:val="both"/>
        <w:rPr>
          <w:color w:val="auto"/>
          <w:sz w:val="22"/>
          <w:szCs w:val="22"/>
        </w:rPr>
      </w:pPr>
      <w:r w:rsidRPr="00607330">
        <w:rPr>
          <w:color w:val="auto"/>
          <w:sz w:val="22"/>
          <w:szCs w:val="22"/>
        </w:rPr>
        <w:t xml:space="preserve">Sarà responsabilità del Concessionario la gestione del contante fino all'avvenuta retrocessione ai rispettivi aventi diritto. </w:t>
      </w:r>
    </w:p>
    <w:p w14:paraId="14B0574D" w14:textId="77777777" w:rsidR="00607330" w:rsidRPr="00607330" w:rsidRDefault="00607330" w:rsidP="00607330">
      <w:pPr>
        <w:pStyle w:val="Default"/>
        <w:spacing w:line="276" w:lineRule="auto"/>
        <w:jc w:val="both"/>
        <w:rPr>
          <w:color w:val="auto"/>
          <w:sz w:val="22"/>
          <w:szCs w:val="22"/>
        </w:rPr>
      </w:pPr>
      <w:r w:rsidRPr="00607330">
        <w:rPr>
          <w:color w:val="auto"/>
          <w:sz w:val="22"/>
          <w:szCs w:val="22"/>
        </w:rPr>
        <w:t xml:space="preserve">Il concedente Parco Archeologico e Paesaggistico di Siracusa </w:t>
      </w:r>
      <w:proofErr w:type="spellStart"/>
      <w:r w:rsidRPr="00607330">
        <w:rPr>
          <w:color w:val="auto"/>
          <w:sz w:val="22"/>
          <w:szCs w:val="22"/>
        </w:rPr>
        <w:t>Eloro</w:t>
      </w:r>
      <w:proofErr w:type="spellEnd"/>
      <w:r w:rsidRPr="00607330">
        <w:rPr>
          <w:color w:val="auto"/>
          <w:sz w:val="22"/>
          <w:szCs w:val="22"/>
        </w:rPr>
        <w:t xml:space="preserve">, Villa del Tellaro e </w:t>
      </w:r>
      <w:proofErr w:type="spellStart"/>
      <w:r w:rsidRPr="00607330">
        <w:rPr>
          <w:color w:val="auto"/>
          <w:sz w:val="22"/>
          <w:szCs w:val="22"/>
        </w:rPr>
        <w:t>Akrai</w:t>
      </w:r>
      <w:proofErr w:type="spellEnd"/>
      <w:r w:rsidRPr="00607330">
        <w:rPr>
          <w:color w:val="auto"/>
          <w:sz w:val="22"/>
          <w:szCs w:val="22"/>
        </w:rPr>
        <w:t xml:space="preserve"> si riserva, direttamente o tramite soggetti terzi, la facoltà di eseguire sia verifiche periodiche sia verifiche puntuali legate all'insorgere di anomalie (ad esempio: numero anomalo di storni, poca chiarezza nelle scritture contabili), volte a controllare la veridicità e la correttezza dei conti giudiziali e delle scritture contabili legate alle attività di vendita. </w:t>
      </w:r>
    </w:p>
    <w:p w14:paraId="4C11DE71" w14:textId="77777777" w:rsidR="00607330" w:rsidRPr="00607330" w:rsidRDefault="00607330" w:rsidP="00607330">
      <w:pPr>
        <w:pStyle w:val="Default"/>
        <w:spacing w:line="276" w:lineRule="auto"/>
        <w:jc w:val="both"/>
        <w:rPr>
          <w:color w:val="auto"/>
          <w:sz w:val="22"/>
          <w:szCs w:val="22"/>
        </w:rPr>
      </w:pPr>
      <w:r w:rsidRPr="00607330">
        <w:rPr>
          <w:color w:val="auto"/>
          <w:sz w:val="22"/>
          <w:szCs w:val="22"/>
        </w:rPr>
        <w:t>Il Concessionario dovrà utilizzare emettitrici automatiche di biglietti. Le casse con operatore potranno incassare solo tramite strumenti elettronici, mentre il contante sarà utilizzato sono tramite emettitrici automatiche di biglietti che dovranno essere installate, gestite e manutenute a spese del Concessionario.</w:t>
      </w:r>
    </w:p>
    <w:p w14:paraId="648F7B1A" w14:textId="20D61010" w:rsidR="00607330" w:rsidRPr="00607330" w:rsidRDefault="00607330" w:rsidP="00607330">
      <w:pPr>
        <w:pStyle w:val="Default"/>
        <w:spacing w:line="276" w:lineRule="auto"/>
        <w:jc w:val="both"/>
        <w:rPr>
          <w:color w:val="auto"/>
          <w:sz w:val="22"/>
          <w:szCs w:val="22"/>
        </w:rPr>
      </w:pPr>
      <w:r w:rsidRPr="00607330">
        <w:rPr>
          <w:color w:val="auto"/>
          <w:sz w:val="22"/>
          <w:szCs w:val="22"/>
        </w:rPr>
        <w:t xml:space="preserve">5.2 I rimborsi a qualsiasi titolo dovuti agli utenti sono a carico del Concessionario, e il regolamento relativo alle politiche dei rimborsi dovrà essere presentato all'Amministrazione e ottenerne l'assenso prima dell'avvio del servizio. </w:t>
      </w:r>
    </w:p>
    <w:p w14:paraId="7143357F" w14:textId="1DF0C269" w:rsidR="00607330" w:rsidRDefault="00607330" w:rsidP="00607330">
      <w:pPr>
        <w:pStyle w:val="Default"/>
        <w:spacing w:line="276" w:lineRule="auto"/>
        <w:jc w:val="both"/>
        <w:rPr>
          <w:color w:val="auto"/>
          <w:sz w:val="22"/>
          <w:szCs w:val="22"/>
        </w:rPr>
      </w:pPr>
      <w:r w:rsidRPr="00607330">
        <w:rPr>
          <w:color w:val="auto"/>
          <w:sz w:val="22"/>
          <w:szCs w:val="22"/>
        </w:rPr>
        <w:t>Il regolamento dovrà specificare le modalità di emissione dei rimborsi, di rendicontazione e qualunque altra attività amministrativa e gestionale riguardante il suddetto procedimento.</w:t>
      </w:r>
    </w:p>
    <w:p w14:paraId="385F021F" w14:textId="77777777" w:rsidR="00D72E40" w:rsidRPr="00D72E40" w:rsidRDefault="00D72E40" w:rsidP="00607330">
      <w:pPr>
        <w:pStyle w:val="Default"/>
        <w:spacing w:line="276" w:lineRule="auto"/>
        <w:jc w:val="both"/>
        <w:rPr>
          <w:color w:val="auto"/>
          <w:sz w:val="22"/>
          <w:szCs w:val="22"/>
        </w:rPr>
      </w:pPr>
    </w:p>
    <w:p w14:paraId="69A71396" w14:textId="62D7FFF6" w:rsidR="00CB7961" w:rsidRPr="00607330" w:rsidRDefault="00CB7961" w:rsidP="00CB7961">
      <w:pPr>
        <w:pStyle w:val="Default"/>
        <w:spacing w:line="276" w:lineRule="auto"/>
        <w:jc w:val="center"/>
        <w:rPr>
          <w:b/>
          <w:bCs/>
          <w:color w:val="auto"/>
          <w:sz w:val="22"/>
          <w:szCs w:val="22"/>
        </w:rPr>
      </w:pPr>
      <w:r w:rsidRPr="00607330">
        <w:rPr>
          <w:b/>
          <w:bCs/>
          <w:color w:val="auto"/>
          <w:sz w:val="22"/>
          <w:szCs w:val="22"/>
        </w:rPr>
        <w:lastRenderedPageBreak/>
        <w:t>ART. 6 - DURATA</w:t>
      </w:r>
      <w:r w:rsidR="00607330" w:rsidRPr="00607330">
        <w:rPr>
          <w:b/>
          <w:bCs/>
          <w:color w:val="auto"/>
          <w:sz w:val="22"/>
          <w:szCs w:val="22"/>
        </w:rPr>
        <w:t xml:space="preserve"> DELLA CONCESSIONE E PROROGA TECNICA</w:t>
      </w:r>
    </w:p>
    <w:p w14:paraId="17095F61" w14:textId="77777777" w:rsidR="00607330" w:rsidRPr="00607330" w:rsidRDefault="00607330" w:rsidP="00607330">
      <w:pPr>
        <w:pStyle w:val="Default"/>
        <w:spacing w:line="276" w:lineRule="auto"/>
        <w:jc w:val="both"/>
        <w:rPr>
          <w:sz w:val="22"/>
          <w:szCs w:val="22"/>
        </w:rPr>
      </w:pPr>
      <w:r w:rsidRPr="00607330">
        <w:rPr>
          <w:sz w:val="22"/>
          <w:szCs w:val="22"/>
        </w:rPr>
        <w:t>La Concessione ha durata di quattro anni decorrenti dalla data di avvio del servizio che avverrà mediante verbale sottoscritto dalle parti. La suddetta durata è stata calcolata tenendo conto del periodo necessario al recupero degli investimenti da parte del Concessionario, individuato sulla base di criteri di ragionevolezza, insieme con una remunerazione del capitale investito, tenuto conto degli investimenti necessari per conseguire gli obiettivi contrattuali specifici come risultante dal piano economico-finanziario.</w:t>
      </w:r>
    </w:p>
    <w:p w14:paraId="5D9CD119" w14:textId="77777777" w:rsidR="00607330" w:rsidRPr="00607330" w:rsidRDefault="00607330" w:rsidP="00607330">
      <w:pPr>
        <w:pStyle w:val="Default"/>
        <w:spacing w:line="276" w:lineRule="auto"/>
        <w:jc w:val="both"/>
        <w:rPr>
          <w:sz w:val="22"/>
          <w:szCs w:val="22"/>
        </w:rPr>
      </w:pPr>
      <w:r w:rsidRPr="00607330">
        <w:rPr>
          <w:sz w:val="22"/>
          <w:szCs w:val="22"/>
        </w:rPr>
        <w:t xml:space="preserve"> Il COMMITTENTE si riserva, in ogni caso, la facoltà di prorogare il contratto per un termine massimo di ulteriori due anni limitatamente al tempo strettamente necessario alla conclusione delle procedure volte all'individuazione del nuovo contraente e alla stipula del relativo contratto. </w:t>
      </w:r>
    </w:p>
    <w:p w14:paraId="640E8326" w14:textId="77777777" w:rsidR="00607330" w:rsidRPr="00607330" w:rsidRDefault="00607330" w:rsidP="00607330">
      <w:pPr>
        <w:pStyle w:val="Default"/>
        <w:spacing w:line="276" w:lineRule="auto"/>
        <w:jc w:val="both"/>
        <w:rPr>
          <w:sz w:val="22"/>
          <w:szCs w:val="22"/>
        </w:rPr>
      </w:pPr>
      <w:r w:rsidRPr="00607330">
        <w:rPr>
          <w:sz w:val="22"/>
          <w:szCs w:val="22"/>
        </w:rPr>
        <w:t xml:space="preserve">La comunicazione al Concessionario per l'avvio della proroga dovrà essere inviata via PEC almeno quindici giorni prima della scadenza del termine di durata contrattuale. </w:t>
      </w:r>
    </w:p>
    <w:p w14:paraId="1BCA2532" w14:textId="77777777" w:rsidR="00607330" w:rsidRPr="00607330" w:rsidRDefault="00607330" w:rsidP="00607330">
      <w:pPr>
        <w:pStyle w:val="Default"/>
        <w:spacing w:line="276" w:lineRule="auto"/>
        <w:jc w:val="both"/>
        <w:rPr>
          <w:sz w:val="22"/>
          <w:szCs w:val="22"/>
        </w:rPr>
      </w:pPr>
      <w:r w:rsidRPr="00607330">
        <w:rPr>
          <w:sz w:val="22"/>
          <w:szCs w:val="22"/>
        </w:rPr>
        <w:t xml:space="preserve">In tal caso, il Concessionario si obbliga ad accettare tale proroga alle medesime condizioni di servizio descritte, nessuna esclusa od eccettuata. </w:t>
      </w:r>
    </w:p>
    <w:p w14:paraId="3A34DC56" w14:textId="77CD4CB1" w:rsidR="00607330" w:rsidRPr="00607330" w:rsidRDefault="00607330" w:rsidP="00607330">
      <w:pPr>
        <w:pStyle w:val="Default"/>
        <w:spacing w:line="276" w:lineRule="auto"/>
        <w:jc w:val="both"/>
        <w:rPr>
          <w:sz w:val="22"/>
          <w:szCs w:val="22"/>
        </w:rPr>
      </w:pPr>
      <w:r w:rsidRPr="00607330">
        <w:rPr>
          <w:sz w:val="22"/>
          <w:szCs w:val="22"/>
        </w:rPr>
        <w:t>Alla scadenza o cessazione della Concessione, qualora lo stato di conservazione e manutenzione dei beni mobili ed immobili affidati per lo svolgimento dei servizi richiesti (che siano o meno stati oggetto di miglioria) renda tali beni non immediatamente utilizzabili allo scopo per il quale sono destinati, le Amministrazioni, previa predisposizione di apposito verbale, avranno la facoltà di escutere dalla garanzia gli importi necessari alla realizzazione delle opere occorrenti per l'adeguamento, la manutenzione o il rifacimento dei beni dati in Concessione, al fine di renderli nuovamente idonei allo scopo a cui sono destinati; in caso di incapienza della garanzia la parte residuale dovrà essere saldata dal Concessionario entro e non oltre il termine perentorio di 30 giorni dalla data del Verbale.</w:t>
      </w:r>
    </w:p>
    <w:p w14:paraId="32B57BB6" w14:textId="12FA0C86" w:rsidR="00607330" w:rsidRPr="00607330" w:rsidRDefault="00F13291" w:rsidP="00607330">
      <w:pPr>
        <w:pStyle w:val="Default"/>
        <w:spacing w:line="276" w:lineRule="auto"/>
        <w:jc w:val="center"/>
        <w:rPr>
          <w:b/>
          <w:bCs/>
          <w:sz w:val="22"/>
          <w:szCs w:val="22"/>
        </w:rPr>
      </w:pPr>
      <w:r w:rsidRPr="00607330">
        <w:rPr>
          <w:b/>
          <w:bCs/>
          <w:sz w:val="22"/>
          <w:szCs w:val="22"/>
        </w:rPr>
        <w:t xml:space="preserve">ART. 7 </w:t>
      </w:r>
      <w:r w:rsidR="00607330" w:rsidRPr="00607330">
        <w:rPr>
          <w:b/>
          <w:bCs/>
          <w:sz w:val="22"/>
          <w:szCs w:val="22"/>
        </w:rPr>
        <w:t>–</w:t>
      </w:r>
      <w:r w:rsidRPr="00607330">
        <w:rPr>
          <w:b/>
          <w:bCs/>
          <w:sz w:val="22"/>
          <w:szCs w:val="22"/>
        </w:rPr>
        <w:t xml:space="preserve"> </w:t>
      </w:r>
      <w:r w:rsidR="00607330" w:rsidRPr="00607330">
        <w:rPr>
          <w:rFonts w:asciiTheme="majorBidi" w:hAnsiTheme="majorBidi"/>
          <w:b/>
          <w:bCs/>
          <w:iCs/>
          <w:sz w:val="22"/>
          <w:szCs w:val="22"/>
        </w:rPr>
        <w:t>PENALI</w:t>
      </w:r>
    </w:p>
    <w:p w14:paraId="7757CAC2" w14:textId="77777777" w:rsidR="00607330" w:rsidRPr="00607330" w:rsidRDefault="00607330" w:rsidP="00607330">
      <w:pPr>
        <w:pStyle w:val="Corpotesto"/>
        <w:kinsoku w:val="0"/>
        <w:overflowPunct w:val="0"/>
        <w:spacing w:before="5"/>
        <w:ind w:right="62"/>
        <w:jc w:val="both"/>
        <w:rPr>
          <w:rFonts w:asciiTheme="majorBidi" w:hAnsiTheme="majorBidi"/>
          <w:sz w:val="22"/>
          <w:szCs w:val="22"/>
        </w:rPr>
      </w:pPr>
      <w:r w:rsidRPr="00607330">
        <w:rPr>
          <w:rFonts w:asciiTheme="majorBidi" w:hAnsiTheme="majorBidi"/>
          <w:sz w:val="22"/>
          <w:szCs w:val="22"/>
        </w:rPr>
        <w:t xml:space="preserve">Ai sensi dell'art. 126 comma 1 del </w:t>
      </w:r>
      <w:proofErr w:type="gramStart"/>
      <w:r w:rsidRPr="00607330">
        <w:rPr>
          <w:rFonts w:asciiTheme="majorBidi" w:hAnsiTheme="majorBidi"/>
          <w:sz w:val="22"/>
          <w:szCs w:val="22"/>
        </w:rPr>
        <w:t>D.Lgs</w:t>
      </w:r>
      <w:proofErr w:type="gramEnd"/>
      <w:r w:rsidRPr="00607330">
        <w:rPr>
          <w:rFonts w:asciiTheme="majorBidi" w:hAnsiTheme="majorBidi"/>
          <w:sz w:val="22"/>
          <w:szCs w:val="22"/>
        </w:rPr>
        <w:t>. 36/2023, i contratti di appalto prevedono penali per il ritardo nell'esecuzione delle prestazioni contrattuali da parte del Concessionario commisurate ai giorni di ritardo e proporzionali rispetto all'importo del contratto o delle prestazioni contrattuali.  Le penali dovute per il ritardato adempimento sono calcolate in misura giornaliera compresa tra € 100 e € 5.000 al giorno e, da determinare in relazione all'entità delle conseguenze legate al ritardo.</w:t>
      </w:r>
      <w:r w:rsidRPr="00607330">
        <w:rPr>
          <w:sz w:val="22"/>
          <w:szCs w:val="22"/>
        </w:rPr>
        <w:t xml:space="preserve"> </w:t>
      </w:r>
      <w:r w:rsidRPr="00607330">
        <w:rPr>
          <w:rFonts w:asciiTheme="majorBidi" w:hAnsiTheme="majorBidi"/>
          <w:sz w:val="22"/>
          <w:szCs w:val="22"/>
        </w:rPr>
        <w:t>A tal fine verrà effettuato un puntuale monitoraggio delle performance e della qualità dei servizi a cura del Concedente o di soggetti terzi.  Eventuali danni arrecati direttamente o indirettamente alle Amministrazioni, anche d'immagine, che derivino dalla mancata, inadeguata o ritardata effettuazione degli adempimenti ivi previsti, sia dalle migliori che dal presente capitolato sono e saranno ad esclusivo carico del Concessionario senza diritto ad alcuna rivalsa.</w:t>
      </w:r>
    </w:p>
    <w:p w14:paraId="6FF4C282" w14:textId="0810FC7B" w:rsidR="00607330" w:rsidRPr="00607330" w:rsidRDefault="00607330" w:rsidP="00607330">
      <w:pPr>
        <w:pStyle w:val="Corpotesto"/>
        <w:kinsoku w:val="0"/>
        <w:overflowPunct w:val="0"/>
        <w:spacing w:before="5"/>
        <w:ind w:right="62"/>
        <w:jc w:val="both"/>
        <w:rPr>
          <w:rFonts w:asciiTheme="majorBidi" w:hAnsiTheme="majorBidi"/>
          <w:sz w:val="22"/>
          <w:szCs w:val="22"/>
        </w:rPr>
      </w:pPr>
      <w:r w:rsidRPr="00607330">
        <w:rPr>
          <w:rFonts w:asciiTheme="majorBidi" w:hAnsiTheme="majorBidi"/>
          <w:sz w:val="22"/>
          <w:szCs w:val="22"/>
        </w:rPr>
        <w:t xml:space="preserve">Tutte le penali sono contabilizzate in detrazione, al verificarsi della relativa condizione di ritardo, il Concedente ne darà comunicazione al Concessionario tramite PEC; a far data dal giorno successivo a quello della comunicazione decorreranno i calcoli delle tempistiche relative alle penali, da corrispondere sul conto bancario indicato nella comunicazione stessa. </w:t>
      </w:r>
    </w:p>
    <w:tbl>
      <w:tblPr>
        <w:tblStyle w:val="Grigliatabella"/>
        <w:tblW w:w="9639" w:type="dxa"/>
        <w:tblInd w:w="-5" w:type="dxa"/>
        <w:tblLook w:val="04A0" w:firstRow="1" w:lastRow="0" w:firstColumn="1" w:lastColumn="0" w:noHBand="0" w:noVBand="1"/>
      </w:tblPr>
      <w:tblGrid>
        <w:gridCol w:w="4253"/>
        <w:gridCol w:w="2551"/>
        <w:gridCol w:w="2835"/>
      </w:tblGrid>
      <w:tr w:rsidR="00607330" w:rsidRPr="00607330" w14:paraId="23CD9C32" w14:textId="77777777" w:rsidTr="00607330">
        <w:tc>
          <w:tcPr>
            <w:tcW w:w="4253" w:type="dxa"/>
          </w:tcPr>
          <w:p w14:paraId="1BD6E2D9" w14:textId="744575DF" w:rsidR="00607330" w:rsidRPr="00607330" w:rsidRDefault="00607330" w:rsidP="00607330">
            <w:pPr>
              <w:pStyle w:val="Corpotesto"/>
              <w:kinsoku w:val="0"/>
              <w:overflowPunct w:val="0"/>
              <w:spacing w:before="5"/>
              <w:ind w:right="62"/>
              <w:jc w:val="center"/>
              <w:rPr>
                <w:rFonts w:asciiTheme="majorBidi" w:hAnsiTheme="majorBidi"/>
                <w:bCs/>
                <w:sz w:val="22"/>
                <w:szCs w:val="22"/>
              </w:rPr>
            </w:pPr>
            <w:r w:rsidRPr="00607330">
              <w:rPr>
                <w:bCs/>
                <w:color w:val="1C1C1C"/>
                <w:spacing w:val="-2"/>
                <w:sz w:val="22"/>
                <w:szCs w:val="22"/>
              </w:rPr>
              <w:t>Inadempimento</w:t>
            </w:r>
          </w:p>
        </w:tc>
        <w:tc>
          <w:tcPr>
            <w:tcW w:w="2551" w:type="dxa"/>
          </w:tcPr>
          <w:p w14:paraId="1DC96EC8" w14:textId="6BEAA810" w:rsidR="00607330" w:rsidRPr="00607330" w:rsidRDefault="00607330" w:rsidP="00607330">
            <w:pPr>
              <w:pStyle w:val="Corpotesto"/>
              <w:kinsoku w:val="0"/>
              <w:overflowPunct w:val="0"/>
              <w:spacing w:before="5"/>
              <w:ind w:right="62"/>
              <w:jc w:val="center"/>
              <w:rPr>
                <w:rFonts w:asciiTheme="majorBidi" w:hAnsiTheme="majorBidi"/>
                <w:bCs/>
                <w:sz w:val="22"/>
                <w:szCs w:val="22"/>
              </w:rPr>
            </w:pPr>
            <w:r w:rsidRPr="00607330">
              <w:rPr>
                <w:bCs/>
                <w:color w:val="1C1C1C"/>
                <w:spacing w:val="-2"/>
                <w:sz w:val="22"/>
                <w:szCs w:val="22"/>
              </w:rPr>
              <w:t>Penale</w:t>
            </w:r>
          </w:p>
        </w:tc>
        <w:tc>
          <w:tcPr>
            <w:tcW w:w="2835" w:type="dxa"/>
          </w:tcPr>
          <w:p w14:paraId="53ABC13A" w14:textId="37AC8259" w:rsidR="00607330" w:rsidRPr="00607330" w:rsidRDefault="00607330" w:rsidP="00607330">
            <w:pPr>
              <w:pStyle w:val="TableParagraph"/>
              <w:spacing w:before="12" w:line="218" w:lineRule="exact"/>
              <w:ind w:left="-110" w:right="-103"/>
              <w:jc w:val="both"/>
              <w:rPr>
                <w:bCs/>
                <w:sz w:val="22"/>
                <w:szCs w:val="22"/>
              </w:rPr>
            </w:pPr>
            <w:r w:rsidRPr="00607330">
              <w:rPr>
                <w:bCs/>
                <w:color w:val="1C1C1C"/>
                <w:spacing w:val="-2"/>
                <w:sz w:val="22"/>
                <w:szCs w:val="22"/>
              </w:rPr>
              <w:t>Clausola risolutiva espressa</w:t>
            </w:r>
          </w:p>
          <w:p w14:paraId="7F20AE5A" w14:textId="64E59705" w:rsidR="00607330" w:rsidRPr="00607330" w:rsidRDefault="00607330" w:rsidP="00607330">
            <w:pPr>
              <w:pStyle w:val="Corpotesto"/>
              <w:kinsoku w:val="0"/>
              <w:overflowPunct w:val="0"/>
              <w:spacing w:before="5"/>
              <w:ind w:right="62"/>
              <w:rPr>
                <w:rFonts w:asciiTheme="majorBidi" w:hAnsiTheme="majorBidi"/>
                <w:bCs/>
                <w:sz w:val="22"/>
                <w:szCs w:val="22"/>
              </w:rPr>
            </w:pPr>
            <w:r w:rsidRPr="00607330">
              <w:rPr>
                <w:bCs/>
                <w:color w:val="1C1C1C"/>
                <w:w w:val="105"/>
                <w:sz w:val="22"/>
                <w:szCs w:val="22"/>
              </w:rPr>
              <w:t xml:space="preserve">ex </w:t>
            </w:r>
            <w:r w:rsidRPr="00607330">
              <w:rPr>
                <w:bCs/>
                <w:color w:val="1C1C1C"/>
                <w:spacing w:val="5"/>
                <w:w w:val="105"/>
                <w:sz w:val="22"/>
                <w:szCs w:val="22"/>
              </w:rPr>
              <w:t xml:space="preserve"> </w:t>
            </w:r>
            <w:r w:rsidRPr="00607330">
              <w:rPr>
                <w:bCs/>
                <w:color w:val="1C1C1C"/>
                <w:w w:val="105"/>
                <w:sz w:val="22"/>
                <w:szCs w:val="22"/>
              </w:rPr>
              <w:t>art.1456</w:t>
            </w:r>
            <w:r w:rsidRPr="00607330">
              <w:rPr>
                <w:bCs/>
                <w:color w:val="1C1C1C"/>
                <w:spacing w:val="26"/>
                <w:w w:val="105"/>
                <w:sz w:val="22"/>
                <w:szCs w:val="22"/>
              </w:rPr>
              <w:t xml:space="preserve"> </w:t>
            </w:r>
            <w:r w:rsidRPr="00607330">
              <w:rPr>
                <w:bCs/>
                <w:color w:val="1C1C1C"/>
                <w:w w:val="105"/>
                <w:sz w:val="22"/>
                <w:szCs w:val="22"/>
              </w:rPr>
              <w:t>c.</w:t>
            </w:r>
            <w:r w:rsidRPr="00607330">
              <w:rPr>
                <w:bCs/>
                <w:color w:val="1C1C1C"/>
                <w:spacing w:val="-5"/>
                <w:w w:val="105"/>
                <w:sz w:val="22"/>
                <w:szCs w:val="22"/>
              </w:rPr>
              <w:t>c.</w:t>
            </w:r>
          </w:p>
        </w:tc>
      </w:tr>
      <w:tr w:rsidR="00607330" w:rsidRPr="00607330" w14:paraId="259EFDAB" w14:textId="77777777" w:rsidTr="00607330">
        <w:tc>
          <w:tcPr>
            <w:tcW w:w="4253" w:type="dxa"/>
          </w:tcPr>
          <w:p w14:paraId="21EDFA6A"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 xml:space="preserve">Avvio dell'esecuzione delle attività </w:t>
            </w:r>
          </w:p>
        </w:tc>
        <w:tc>
          <w:tcPr>
            <w:tcW w:w="2551" w:type="dxa"/>
          </w:tcPr>
          <w:p w14:paraId="41AC7C97" w14:textId="77777777" w:rsidR="00607330" w:rsidRPr="00607330" w:rsidRDefault="00607330" w:rsidP="00DA09CE">
            <w:pPr>
              <w:pStyle w:val="TableParagraph"/>
              <w:spacing w:before="12" w:line="218" w:lineRule="exact"/>
              <w:ind w:right="34"/>
              <w:jc w:val="center"/>
              <w:rPr>
                <w:bCs/>
                <w:color w:val="1C1C1C"/>
                <w:spacing w:val="-2"/>
                <w:sz w:val="22"/>
                <w:szCs w:val="22"/>
              </w:rPr>
            </w:pPr>
            <w:r w:rsidRPr="00607330">
              <w:rPr>
                <w:bCs/>
                <w:color w:val="1C1C1C"/>
                <w:spacing w:val="-2"/>
                <w:sz w:val="22"/>
                <w:szCs w:val="22"/>
              </w:rPr>
              <w:t>€ 5.000 per ogni giorno di ritardo</w:t>
            </w:r>
          </w:p>
        </w:tc>
        <w:tc>
          <w:tcPr>
            <w:tcW w:w="2835" w:type="dxa"/>
          </w:tcPr>
          <w:p w14:paraId="11347CA8" w14:textId="77777777" w:rsidR="00607330" w:rsidRPr="00607330" w:rsidRDefault="00607330" w:rsidP="00DA09CE">
            <w:pPr>
              <w:pStyle w:val="TableParagraph"/>
              <w:spacing w:before="12" w:line="218" w:lineRule="exact"/>
              <w:ind w:right="-103"/>
              <w:jc w:val="center"/>
              <w:rPr>
                <w:bCs/>
                <w:color w:val="1C1C1C"/>
                <w:spacing w:val="-2"/>
                <w:sz w:val="22"/>
                <w:szCs w:val="22"/>
              </w:rPr>
            </w:pPr>
            <w:r w:rsidRPr="00607330">
              <w:rPr>
                <w:bCs/>
                <w:color w:val="1C1C1C"/>
                <w:spacing w:val="-2"/>
                <w:sz w:val="22"/>
                <w:szCs w:val="22"/>
              </w:rPr>
              <w:t>In caso di ritardo superiore a 36 ore</w:t>
            </w:r>
          </w:p>
        </w:tc>
      </w:tr>
      <w:tr w:rsidR="00607330" w:rsidRPr="00607330" w14:paraId="375C5A55" w14:textId="77777777" w:rsidTr="00607330">
        <w:tc>
          <w:tcPr>
            <w:tcW w:w="4253" w:type="dxa"/>
          </w:tcPr>
          <w:p w14:paraId="5F764B48"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Mancato rispetto degli orari e dei giorni di apertura dei Musei</w:t>
            </w:r>
          </w:p>
        </w:tc>
        <w:tc>
          <w:tcPr>
            <w:tcW w:w="2551" w:type="dxa"/>
          </w:tcPr>
          <w:p w14:paraId="5832F1E8" w14:textId="77777777" w:rsidR="00607330" w:rsidRPr="00607330" w:rsidRDefault="00607330" w:rsidP="00DA09CE">
            <w:pPr>
              <w:pStyle w:val="TableParagraph"/>
              <w:spacing w:before="12" w:line="218" w:lineRule="exact"/>
              <w:ind w:right="34"/>
              <w:jc w:val="center"/>
              <w:rPr>
                <w:bCs/>
                <w:color w:val="1C1C1C"/>
                <w:spacing w:val="-2"/>
                <w:sz w:val="22"/>
                <w:szCs w:val="22"/>
              </w:rPr>
            </w:pPr>
            <w:r w:rsidRPr="00607330">
              <w:rPr>
                <w:bCs/>
                <w:color w:val="1C1C1C"/>
                <w:spacing w:val="-2"/>
                <w:sz w:val="22"/>
                <w:szCs w:val="22"/>
              </w:rPr>
              <w:t>€ 3.000 per ogni giorno di ritardo</w:t>
            </w:r>
          </w:p>
        </w:tc>
        <w:tc>
          <w:tcPr>
            <w:tcW w:w="2835" w:type="dxa"/>
          </w:tcPr>
          <w:p w14:paraId="35772893" w14:textId="77777777" w:rsidR="00607330" w:rsidRPr="00607330" w:rsidRDefault="00607330" w:rsidP="00DA09CE">
            <w:pPr>
              <w:pStyle w:val="TableParagraph"/>
              <w:spacing w:before="12" w:line="218" w:lineRule="exact"/>
              <w:ind w:right="34"/>
              <w:jc w:val="center"/>
              <w:rPr>
                <w:bCs/>
                <w:color w:val="1C1C1C"/>
                <w:spacing w:val="-2"/>
                <w:sz w:val="22"/>
                <w:szCs w:val="22"/>
              </w:rPr>
            </w:pPr>
            <w:r w:rsidRPr="00607330">
              <w:rPr>
                <w:bCs/>
                <w:color w:val="1C1C1C"/>
                <w:spacing w:val="-2"/>
                <w:sz w:val="22"/>
                <w:szCs w:val="22"/>
              </w:rPr>
              <w:t>In caso di ritardo superiore a 24 ore</w:t>
            </w:r>
          </w:p>
        </w:tc>
      </w:tr>
      <w:tr w:rsidR="00607330" w:rsidRPr="00607330" w14:paraId="5665BCCD" w14:textId="77777777" w:rsidTr="00607330">
        <w:tc>
          <w:tcPr>
            <w:tcW w:w="4253" w:type="dxa"/>
          </w:tcPr>
          <w:p w14:paraId="6D023AEE"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 xml:space="preserve">Mancata trasmissione dei dati contabili, fiscali e di reportistica in generale richiesta dal capitolato e da quando previsto nelle migliorie </w:t>
            </w:r>
          </w:p>
        </w:tc>
        <w:tc>
          <w:tcPr>
            <w:tcW w:w="2551" w:type="dxa"/>
          </w:tcPr>
          <w:p w14:paraId="099BA451" w14:textId="77777777" w:rsidR="00607330" w:rsidRPr="00607330" w:rsidRDefault="00607330" w:rsidP="00DA09CE">
            <w:pPr>
              <w:pStyle w:val="TableParagraph"/>
              <w:spacing w:before="12" w:line="218" w:lineRule="exact"/>
              <w:ind w:right="34"/>
              <w:jc w:val="center"/>
              <w:rPr>
                <w:bCs/>
                <w:color w:val="1C1C1C"/>
                <w:spacing w:val="-2"/>
                <w:sz w:val="22"/>
                <w:szCs w:val="22"/>
              </w:rPr>
            </w:pPr>
            <w:r w:rsidRPr="00607330">
              <w:rPr>
                <w:bCs/>
                <w:color w:val="1C1C1C"/>
                <w:spacing w:val="-2"/>
                <w:sz w:val="22"/>
                <w:szCs w:val="22"/>
              </w:rPr>
              <w:t>€ 250 per ogni giorno di ritardo</w:t>
            </w:r>
          </w:p>
        </w:tc>
        <w:tc>
          <w:tcPr>
            <w:tcW w:w="2835" w:type="dxa"/>
          </w:tcPr>
          <w:p w14:paraId="32FB619D" w14:textId="77777777" w:rsidR="00607330" w:rsidRPr="00607330" w:rsidRDefault="00607330" w:rsidP="00DA09CE">
            <w:pPr>
              <w:pStyle w:val="TableParagraph"/>
              <w:spacing w:before="12" w:line="218" w:lineRule="exact"/>
              <w:ind w:right="-103"/>
              <w:rPr>
                <w:bCs/>
                <w:color w:val="1C1C1C"/>
                <w:spacing w:val="-2"/>
                <w:sz w:val="22"/>
                <w:szCs w:val="22"/>
              </w:rPr>
            </w:pPr>
          </w:p>
          <w:p w14:paraId="70DC81A0" w14:textId="77777777" w:rsidR="00607330" w:rsidRPr="00607330" w:rsidRDefault="00607330" w:rsidP="00DA09CE">
            <w:pPr>
              <w:pStyle w:val="TableParagraph"/>
              <w:spacing w:before="12" w:line="218" w:lineRule="exact"/>
              <w:ind w:right="-103"/>
              <w:rPr>
                <w:bCs/>
                <w:color w:val="1C1C1C"/>
                <w:spacing w:val="-2"/>
                <w:sz w:val="22"/>
                <w:szCs w:val="22"/>
              </w:rPr>
            </w:pPr>
            <w:r w:rsidRPr="00607330">
              <w:rPr>
                <w:bCs/>
                <w:color w:val="1C1C1C"/>
                <w:spacing w:val="-2"/>
                <w:sz w:val="22"/>
                <w:szCs w:val="22"/>
              </w:rPr>
              <w:t>In caso di ritardo superiore a venti giorni</w:t>
            </w:r>
          </w:p>
        </w:tc>
      </w:tr>
      <w:tr w:rsidR="00607330" w:rsidRPr="00607330" w14:paraId="3C165043" w14:textId="77777777" w:rsidTr="00607330">
        <w:tc>
          <w:tcPr>
            <w:tcW w:w="4253" w:type="dxa"/>
          </w:tcPr>
          <w:p w14:paraId="1808F10C"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Ritardo del mancato versamento nella retrocessione degli incassi dei titoli di accesso.</w:t>
            </w:r>
          </w:p>
        </w:tc>
        <w:tc>
          <w:tcPr>
            <w:tcW w:w="2551" w:type="dxa"/>
          </w:tcPr>
          <w:p w14:paraId="2A141468" w14:textId="77777777" w:rsidR="00607330" w:rsidRPr="00607330" w:rsidRDefault="00607330" w:rsidP="00DA09CE">
            <w:pPr>
              <w:pStyle w:val="TableParagraph"/>
              <w:spacing w:before="12" w:line="218" w:lineRule="exact"/>
              <w:ind w:right="34"/>
              <w:jc w:val="center"/>
              <w:rPr>
                <w:bCs/>
                <w:color w:val="1C1C1C"/>
                <w:spacing w:val="-2"/>
                <w:sz w:val="22"/>
                <w:szCs w:val="22"/>
              </w:rPr>
            </w:pPr>
          </w:p>
          <w:p w14:paraId="5F5F925A" w14:textId="77777777" w:rsidR="00607330" w:rsidRPr="00607330" w:rsidRDefault="00607330" w:rsidP="00DA09CE">
            <w:pPr>
              <w:pStyle w:val="TableParagraph"/>
              <w:spacing w:before="12" w:line="218" w:lineRule="exact"/>
              <w:ind w:right="34"/>
              <w:jc w:val="center"/>
              <w:rPr>
                <w:bCs/>
                <w:color w:val="1C1C1C"/>
                <w:spacing w:val="-2"/>
                <w:sz w:val="22"/>
                <w:szCs w:val="22"/>
              </w:rPr>
            </w:pPr>
            <w:r w:rsidRPr="00607330">
              <w:rPr>
                <w:bCs/>
                <w:color w:val="1C1C1C"/>
                <w:spacing w:val="-2"/>
                <w:sz w:val="22"/>
                <w:szCs w:val="22"/>
              </w:rPr>
              <w:t>€ 500 per ogni giorno di ritardo</w:t>
            </w:r>
          </w:p>
        </w:tc>
        <w:tc>
          <w:tcPr>
            <w:tcW w:w="2835" w:type="dxa"/>
          </w:tcPr>
          <w:p w14:paraId="707E65DA" w14:textId="77777777" w:rsidR="00607330" w:rsidRPr="00607330" w:rsidRDefault="00607330" w:rsidP="00DA09CE">
            <w:pPr>
              <w:pStyle w:val="TableParagraph"/>
              <w:spacing w:before="12" w:line="218" w:lineRule="exact"/>
              <w:ind w:right="-103"/>
              <w:rPr>
                <w:bCs/>
                <w:color w:val="1C1C1C"/>
                <w:spacing w:val="-2"/>
                <w:sz w:val="22"/>
                <w:szCs w:val="22"/>
              </w:rPr>
            </w:pPr>
            <w:r w:rsidRPr="00607330">
              <w:rPr>
                <w:bCs/>
                <w:color w:val="1C1C1C"/>
                <w:spacing w:val="-2"/>
                <w:sz w:val="22"/>
                <w:szCs w:val="22"/>
              </w:rPr>
              <w:t>In caso mancato adeguamento nel temine di 25 giorni</w:t>
            </w:r>
          </w:p>
        </w:tc>
      </w:tr>
      <w:tr w:rsidR="00607330" w:rsidRPr="00607330" w14:paraId="63579817" w14:textId="77777777" w:rsidTr="00607330">
        <w:tc>
          <w:tcPr>
            <w:tcW w:w="4253" w:type="dxa"/>
          </w:tcPr>
          <w:p w14:paraId="3F11DBC1"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Mancata osservazione della trasmissione dei report di monitoraggio, del report dei processi, e di coordinamento, controllo delle figure professionali</w:t>
            </w:r>
          </w:p>
        </w:tc>
        <w:tc>
          <w:tcPr>
            <w:tcW w:w="2551" w:type="dxa"/>
          </w:tcPr>
          <w:p w14:paraId="2B28448B" w14:textId="77777777" w:rsidR="00607330" w:rsidRPr="00607330" w:rsidRDefault="00607330" w:rsidP="00DA09CE">
            <w:pPr>
              <w:pStyle w:val="TableParagraph"/>
              <w:spacing w:before="12" w:line="218" w:lineRule="exact"/>
              <w:ind w:right="34"/>
              <w:jc w:val="center"/>
              <w:rPr>
                <w:bCs/>
                <w:color w:val="1C1C1C"/>
                <w:spacing w:val="-2"/>
                <w:sz w:val="22"/>
                <w:szCs w:val="22"/>
              </w:rPr>
            </w:pPr>
          </w:p>
          <w:p w14:paraId="42DA62A3" w14:textId="77777777" w:rsidR="00607330" w:rsidRPr="00607330" w:rsidRDefault="00607330" w:rsidP="00DA09CE">
            <w:pPr>
              <w:pStyle w:val="TableParagraph"/>
              <w:spacing w:before="12" w:line="218" w:lineRule="exact"/>
              <w:ind w:right="34"/>
              <w:jc w:val="center"/>
              <w:rPr>
                <w:bCs/>
                <w:color w:val="1C1C1C"/>
                <w:spacing w:val="-2"/>
                <w:sz w:val="22"/>
                <w:szCs w:val="22"/>
              </w:rPr>
            </w:pPr>
            <w:r w:rsidRPr="00607330">
              <w:rPr>
                <w:bCs/>
                <w:color w:val="1C1C1C"/>
                <w:spacing w:val="-2"/>
                <w:sz w:val="22"/>
                <w:szCs w:val="22"/>
              </w:rPr>
              <w:t xml:space="preserve">€ 200 al giorno per contestazione </w:t>
            </w:r>
          </w:p>
        </w:tc>
        <w:tc>
          <w:tcPr>
            <w:tcW w:w="2835" w:type="dxa"/>
          </w:tcPr>
          <w:p w14:paraId="4F06CE65" w14:textId="77777777" w:rsidR="00607330" w:rsidRPr="00607330" w:rsidRDefault="00607330" w:rsidP="00DA09CE">
            <w:pPr>
              <w:pStyle w:val="TableParagraph"/>
              <w:spacing w:before="12" w:line="218" w:lineRule="exact"/>
              <w:ind w:right="-103"/>
              <w:jc w:val="center"/>
              <w:rPr>
                <w:bCs/>
                <w:color w:val="1C1C1C"/>
                <w:spacing w:val="-2"/>
                <w:sz w:val="22"/>
                <w:szCs w:val="22"/>
              </w:rPr>
            </w:pPr>
          </w:p>
          <w:p w14:paraId="5328E7F6" w14:textId="77777777" w:rsidR="00607330" w:rsidRPr="00607330" w:rsidRDefault="00607330" w:rsidP="00DA09CE">
            <w:pPr>
              <w:pStyle w:val="TableParagraph"/>
              <w:spacing w:before="12" w:line="218" w:lineRule="exact"/>
              <w:ind w:right="-103"/>
              <w:jc w:val="center"/>
              <w:rPr>
                <w:bCs/>
                <w:color w:val="1C1C1C"/>
                <w:spacing w:val="-2"/>
                <w:sz w:val="22"/>
                <w:szCs w:val="22"/>
              </w:rPr>
            </w:pPr>
            <w:r w:rsidRPr="00607330">
              <w:rPr>
                <w:bCs/>
                <w:color w:val="1C1C1C"/>
                <w:spacing w:val="-2"/>
                <w:sz w:val="22"/>
                <w:szCs w:val="22"/>
              </w:rPr>
              <w:t>In caso di ritardo superiore a 25 giorni</w:t>
            </w:r>
          </w:p>
        </w:tc>
      </w:tr>
      <w:tr w:rsidR="00607330" w:rsidRPr="00607330" w14:paraId="1B0B0476" w14:textId="77777777" w:rsidTr="00607330">
        <w:tc>
          <w:tcPr>
            <w:tcW w:w="4253" w:type="dxa"/>
          </w:tcPr>
          <w:p w14:paraId="32728E63"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Mancato rispetto dei tempi di esecuzione dei servizi al pubblico, compresi servizi di Cal Center e Online, previsti dal Capitolato</w:t>
            </w:r>
          </w:p>
        </w:tc>
        <w:tc>
          <w:tcPr>
            <w:tcW w:w="2551" w:type="dxa"/>
          </w:tcPr>
          <w:p w14:paraId="6FCD323F" w14:textId="77777777" w:rsidR="00607330" w:rsidRPr="00607330" w:rsidRDefault="00607330" w:rsidP="00DA09CE">
            <w:pPr>
              <w:pStyle w:val="TableParagraph"/>
              <w:spacing w:before="12" w:line="218" w:lineRule="exact"/>
              <w:ind w:right="176"/>
              <w:jc w:val="center"/>
              <w:rPr>
                <w:bCs/>
                <w:color w:val="1C1C1C"/>
                <w:spacing w:val="-2"/>
                <w:sz w:val="22"/>
                <w:szCs w:val="22"/>
              </w:rPr>
            </w:pPr>
          </w:p>
          <w:p w14:paraId="2E0D8343" w14:textId="77777777" w:rsidR="00607330" w:rsidRPr="00607330" w:rsidRDefault="00607330" w:rsidP="00DA09CE">
            <w:pPr>
              <w:pStyle w:val="TableParagraph"/>
              <w:spacing w:before="12" w:line="218" w:lineRule="exact"/>
              <w:ind w:right="176"/>
              <w:jc w:val="center"/>
              <w:rPr>
                <w:bCs/>
                <w:color w:val="1C1C1C"/>
                <w:spacing w:val="-2"/>
                <w:sz w:val="22"/>
                <w:szCs w:val="22"/>
              </w:rPr>
            </w:pPr>
            <w:r w:rsidRPr="00607330">
              <w:rPr>
                <w:bCs/>
                <w:color w:val="1C1C1C"/>
                <w:spacing w:val="-2"/>
                <w:sz w:val="22"/>
                <w:szCs w:val="22"/>
              </w:rPr>
              <w:t>€ 400 per ogni violazione rilevata</w:t>
            </w:r>
          </w:p>
        </w:tc>
        <w:tc>
          <w:tcPr>
            <w:tcW w:w="2835" w:type="dxa"/>
          </w:tcPr>
          <w:p w14:paraId="57717C3A" w14:textId="77777777" w:rsidR="00607330" w:rsidRPr="00607330" w:rsidRDefault="00607330" w:rsidP="00DA09CE">
            <w:pPr>
              <w:pStyle w:val="TableParagraph"/>
              <w:spacing w:before="12" w:line="218" w:lineRule="exact"/>
              <w:ind w:right="-103"/>
              <w:jc w:val="center"/>
              <w:rPr>
                <w:bCs/>
                <w:color w:val="1C1C1C"/>
                <w:spacing w:val="-2"/>
                <w:sz w:val="22"/>
                <w:szCs w:val="22"/>
              </w:rPr>
            </w:pPr>
          </w:p>
          <w:p w14:paraId="37B7A393" w14:textId="77777777" w:rsidR="00607330" w:rsidRPr="00607330" w:rsidRDefault="00607330" w:rsidP="00DA09CE">
            <w:pPr>
              <w:pStyle w:val="TableParagraph"/>
              <w:spacing w:before="12" w:line="218" w:lineRule="exact"/>
              <w:ind w:right="-103"/>
              <w:jc w:val="center"/>
              <w:rPr>
                <w:bCs/>
                <w:color w:val="1C1C1C"/>
                <w:spacing w:val="-2"/>
                <w:sz w:val="22"/>
                <w:szCs w:val="22"/>
              </w:rPr>
            </w:pPr>
            <w:r w:rsidRPr="00607330">
              <w:rPr>
                <w:bCs/>
                <w:color w:val="1C1C1C"/>
                <w:spacing w:val="-2"/>
                <w:sz w:val="22"/>
                <w:szCs w:val="22"/>
              </w:rPr>
              <w:t>In caso di ritardo superiore a 20 giorni</w:t>
            </w:r>
          </w:p>
        </w:tc>
      </w:tr>
      <w:tr w:rsidR="00607330" w:rsidRPr="00607330" w14:paraId="666A9D86" w14:textId="77777777" w:rsidTr="00607330">
        <w:tc>
          <w:tcPr>
            <w:tcW w:w="4253" w:type="dxa"/>
          </w:tcPr>
          <w:p w14:paraId="10B6F657"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Mancato funzionamento della piattaforma informatica per la gestione integrata dei servizi oggetto della concessione</w:t>
            </w:r>
          </w:p>
        </w:tc>
        <w:tc>
          <w:tcPr>
            <w:tcW w:w="2551" w:type="dxa"/>
          </w:tcPr>
          <w:p w14:paraId="5615286B" w14:textId="77777777" w:rsidR="00607330" w:rsidRPr="00607330" w:rsidRDefault="00607330" w:rsidP="00DA09CE">
            <w:pPr>
              <w:pStyle w:val="TableParagraph"/>
              <w:spacing w:before="12" w:line="218" w:lineRule="exact"/>
              <w:ind w:right="176"/>
              <w:jc w:val="center"/>
              <w:rPr>
                <w:bCs/>
                <w:color w:val="1C1C1C"/>
                <w:spacing w:val="-2"/>
                <w:sz w:val="22"/>
                <w:szCs w:val="22"/>
              </w:rPr>
            </w:pPr>
          </w:p>
          <w:p w14:paraId="04BC6F49" w14:textId="77777777" w:rsidR="00607330" w:rsidRPr="00607330" w:rsidRDefault="00607330" w:rsidP="00DA09CE">
            <w:pPr>
              <w:pStyle w:val="TableParagraph"/>
              <w:spacing w:before="12" w:line="218" w:lineRule="exact"/>
              <w:ind w:right="176"/>
              <w:jc w:val="center"/>
              <w:rPr>
                <w:bCs/>
                <w:color w:val="1C1C1C"/>
                <w:spacing w:val="-2"/>
                <w:sz w:val="22"/>
                <w:szCs w:val="22"/>
              </w:rPr>
            </w:pPr>
            <w:r w:rsidRPr="00607330">
              <w:rPr>
                <w:bCs/>
                <w:color w:val="1C1C1C"/>
                <w:spacing w:val="-2"/>
                <w:sz w:val="22"/>
                <w:szCs w:val="22"/>
              </w:rPr>
              <w:t>€ 200 per ogni giorno di contestazione</w:t>
            </w:r>
          </w:p>
        </w:tc>
        <w:tc>
          <w:tcPr>
            <w:tcW w:w="2835" w:type="dxa"/>
          </w:tcPr>
          <w:p w14:paraId="4C05F1E6" w14:textId="77777777" w:rsidR="00607330" w:rsidRPr="00607330" w:rsidRDefault="00607330" w:rsidP="00DA09CE">
            <w:pPr>
              <w:pStyle w:val="TableParagraph"/>
              <w:spacing w:before="12" w:line="218" w:lineRule="exact"/>
              <w:ind w:right="-103"/>
              <w:jc w:val="center"/>
              <w:rPr>
                <w:bCs/>
                <w:color w:val="1C1C1C"/>
                <w:spacing w:val="-2"/>
                <w:sz w:val="22"/>
                <w:szCs w:val="22"/>
              </w:rPr>
            </w:pPr>
          </w:p>
          <w:p w14:paraId="1B1DEF1B" w14:textId="77777777" w:rsidR="00607330" w:rsidRPr="00607330" w:rsidRDefault="00607330" w:rsidP="00DA09CE">
            <w:pPr>
              <w:pStyle w:val="TableParagraph"/>
              <w:spacing w:before="12" w:line="218" w:lineRule="exact"/>
              <w:ind w:right="-103"/>
              <w:jc w:val="center"/>
              <w:rPr>
                <w:bCs/>
                <w:color w:val="1C1C1C"/>
                <w:spacing w:val="-2"/>
                <w:sz w:val="22"/>
                <w:szCs w:val="22"/>
              </w:rPr>
            </w:pPr>
            <w:r w:rsidRPr="00607330">
              <w:rPr>
                <w:bCs/>
                <w:color w:val="1C1C1C"/>
                <w:spacing w:val="-2"/>
                <w:sz w:val="22"/>
                <w:szCs w:val="22"/>
              </w:rPr>
              <w:t>In caso mancato adeguamento nel temine di 10 giorni</w:t>
            </w:r>
          </w:p>
        </w:tc>
      </w:tr>
      <w:tr w:rsidR="00607330" w:rsidRPr="00607330" w14:paraId="0D2C388C" w14:textId="77777777" w:rsidTr="00607330">
        <w:tc>
          <w:tcPr>
            <w:tcW w:w="4253" w:type="dxa"/>
          </w:tcPr>
          <w:p w14:paraId="2329F8CB"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 xml:space="preserve">Mancato avvio delle attività promozionali </w:t>
            </w:r>
            <w:r w:rsidRPr="00607330">
              <w:rPr>
                <w:bCs/>
                <w:color w:val="1C1C1C"/>
                <w:spacing w:val="-2"/>
                <w:sz w:val="22"/>
                <w:szCs w:val="22"/>
              </w:rPr>
              <w:lastRenderedPageBreak/>
              <w:t>previste dal capitolato e di tutte le migliorie, offerte in sede di gara</w:t>
            </w:r>
          </w:p>
        </w:tc>
        <w:tc>
          <w:tcPr>
            <w:tcW w:w="2551" w:type="dxa"/>
          </w:tcPr>
          <w:p w14:paraId="1C3A58CB" w14:textId="77777777" w:rsidR="00607330" w:rsidRPr="00607330" w:rsidRDefault="00607330" w:rsidP="00DA09CE">
            <w:pPr>
              <w:pStyle w:val="TableParagraph"/>
              <w:spacing w:before="12" w:line="218" w:lineRule="exact"/>
              <w:ind w:right="176"/>
              <w:jc w:val="center"/>
              <w:rPr>
                <w:bCs/>
                <w:color w:val="1C1C1C"/>
                <w:spacing w:val="-2"/>
                <w:sz w:val="22"/>
                <w:szCs w:val="22"/>
              </w:rPr>
            </w:pPr>
          </w:p>
          <w:p w14:paraId="056D1D72" w14:textId="77777777" w:rsidR="00607330" w:rsidRPr="00607330" w:rsidRDefault="00607330" w:rsidP="00DA09CE">
            <w:pPr>
              <w:pStyle w:val="TableParagraph"/>
              <w:spacing w:before="12" w:line="218" w:lineRule="exact"/>
              <w:ind w:right="176"/>
              <w:jc w:val="center"/>
              <w:rPr>
                <w:bCs/>
                <w:color w:val="1C1C1C"/>
                <w:spacing w:val="-2"/>
                <w:sz w:val="22"/>
                <w:szCs w:val="22"/>
              </w:rPr>
            </w:pPr>
            <w:r w:rsidRPr="00607330">
              <w:rPr>
                <w:bCs/>
                <w:color w:val="1C1C1C"/>
                <w:spacing w:val="-2"/>
                <w:sz w:val="22"/>
                <w:szCs w:val="22"/>
              </w:rPr>
              <w:lastRenderedPageBreak/>
              <w:t>€ 200 per ogni giorno di contestazione</w:t>
            </w:r>
          </w:p>
        </w:tc>
        <w:tc>
          <w:tcPr>
            <w:tcW w:w="2835" w:type="dxa"/>
          </w:tcPr>
          <w:p w14:paraId="460F4CA5" w14:textId="77777777" w:rsidR="00607330" w:rsidRPr="00607330" w:rsidRDefault="00607330" w:rsidP="00DA09CE">
            <w:pPr>
              <w:pStyle w:val="TableParagraph"/>
              <w:spacing w:before="12" w:line="218" w:lineRule="exact"/>
              <w:ind w:right="-103"/>
              <w:jc w:val="center"/>
              <w:rPr>
                <w:bCs/>
                <w:color w:val="1C1C1C"/>
                <w:spacing w:val="-2"/>
                <w:sz w:val="22"/>
                <w:szCs w:val="22"/>
              </w:rPr>
            </w:pPr>
          </w:p>
          <w:p w14:paraId="53FC328D" w14:textId="77777777" w:rsidR="00607330" w:rsidRPr="00607330" w:rsidRDefault="00607330" w:rsidP="00DA09CE">
            <w:pPr>
              <w:pStyle w:val="TableParagraph"/>
              <w:spacing w:before="12" w:line="218" w:lineRule="exact"/>
              <w:ind w:right="-103"/>
              <w:jc w:val="center"/>
              <w:rPr>
                <w:bCs/>
                <w:color w:val="1C1C1C"/>
                <w:spacing w:val="-2"/>
                <w:sz w:val="22"/>
                <w:szCs w:val="22"/>
              </w:rPr>
            </w:pPr>
            <w:r w:rsidRPr="00607330">
              <w:rPr>
                <w:bCs/>
                <w:color w:val="1C1C1C"/>
                <w:spacing w:val="-2"/>
                <w:sz w:val="22"/>
                <w:szCs w:val="22"/>
              </w:rPr>
              <w:lastRenderedPageBreak/>
              <w:t>In caso mancato adeguamento nel temine di 20 giorni</w:t>
            </w:r>
          </w:p>
        </w:tc>
      </w:tr>
      <w:tr w:rsidR="00607330" w:rsidRPr="00607330" w14:paraId="09A59C93" w14:textId="77777777" w:rsidTr="00607330">
        <w:tc>
          <w:tcPr>
            <w:tcW w:w="4253" w:type="dxa"/>
          </w:tcPr>
          <w:p w14:paraId="748206DB"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lastRenderedPageBreak/>
              <w:t xml:space="preserve">Mancato avvio del supporto all’emissione dei biglietti </w:t>
            </w:r>
            <w:proofErr w:type="spellStart"/>
            <w:r w:rsidRPr="00607330">
              <w:rPr>
                <w:bCs/>
                <w:color w:val="1C1C1C"/>
                <w:spacing w:val="-2"/>
                <w:sz w:val="22"/>
                <w:szCs w:val="22"/>
              </w:rPr>
              <w:t>onsite</w:t>
            </w:r>
            <w:proofErr w:type="spellEnd"/>
          </w:p>
        </w:tc>
        <w:tc>
          <w:tcPr>
            <w:tcW w:w="2551" w:type="dxa"/>
          </w:tcPr>
          <w:p w14:paraId="3B4E0202" w14:textId="77777777" w:rsidR="00607330" w:rsidRPr="00607330" w:rsidRDefault="00607330" w:rsidP="00DA09CE">
            <w:pPr>
              <w:pStyle w:val="TableParagraph"/>
              <w:spacing w:before="12" w:line="218" w:lineRule="exact"/>
              <w:ind w:right="176"/>
              <w:jc w:val="center"/>
              <w:rPr>
                <w:bCs/>
                <w:color w:val="1C1C1C"/>
                <w:spacing w:val="-2"/>
                <w:sz w:val="22"/>
                <w:szCs w:val="22"/>
              </w:rPr>
            </w:pPr>
            <w:r w:rsidRPr="00607330">
              <w:rPr>
                <w:bCs/>
                <w:color w:val="1C1C1C"/>
                <w:spacing w:val="-2"/>
                <w:sz w:val="22"/>
                <w:szCs w:val="22"/>
              </w:rPr>
              <w:t>€ 1.000 per ogni giorno di contestazione</w:t>
            </w:r>
          </w:p>
        </w:tc>
        <w:tc>
          <w:tcPr>
            <w:tcW w:w="2835" w:type="dxa"/>
          </w:tcPr>
          <w:p w14:paraId="3AAFE9B5" w14:textId="77777777" w:rsidR="00607330" w:rsidRPr="00607330" w:rsidRDefault="00607330" w:rsidP="00DA09CE">
            <w:pPr>
              <w:pStyle w:val="TableParagraph"/>
              <w:spacing w:before="12" w:line="218" w:lineRule="exact"/>
              <w:ind w:right="-103"/>
              <w:jc w:val="center"/>
              <w:rPr>
                <w:bCs/>
                <w:color w:val="1C1C1C"/>
                <w:spacing w:val="-2"/>
                <w:sz w:val="22"/>
                <w:szCs w:val="22"/>
              </w:rPr>
            </w:pPr>
            <w:r w:rsidRPr="00607330">
              <w:rPr>
                <w:bCs/>
                <w:color w:val="1C1C1C"/>
                <w:spacing w:val="-2"/>
                <w:sz w:val="22"/>
                <w:szCs w:val="22"/>
              </w:rPr>
              <w:t>In caso mancato adeguamento nel temine di 10 giorni</w:t>
            </w:r>
          </w:p>
        </w:tc>
      </w:tr>
      <w:tr w:rsidR="00607330" w:rsidRPr="00607330" w14:paraId="37A2C0EB" w14:textId="77777777" w:rsidTr="00607330">
        <w:tc>
          <w:tcPr>
            <w:tcW w:w="4253" w:type="dxa"/>
          </w:tcPr>
          <w:p w14:paraId="31746262"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Mancato o ritardato riscontro in merito a richieste di assistenza e supporto formulate per iscritto</w:t>
            </w:r>
          </w:p>
        </w:tc>
        <w:tc>
          <w:tcPr>
            <w:tcW w:w="2551" w:type="dxa"/>
          </w:tcPr>
          <w:p w14:paraId="58EF1F2B" w14:textId="77777777" w:rsidR="00607330" w:rsidRPr="00607330" w:rsidRDefault="00607330" w:rsidP="00DA09CE">
            <w:pPr>
              <w:pStyle w:val="TableParagraph"/>
              <w:spacing w:before="12" w:line="218" w:lineRule="exact"/>
              <w:ind w:right="176"/>
              <w:jc w:val="center"/>
              <w:rPr>
                <w:bCs/>
                <w:color w:val="1C1C1C"/>
                <w:spacing w:val="-2"/>
                <w:sz w:val="22"/>
                <w:szCs w:val="22"/>
              </w:rPr>
            </w:pPr>
          </w:p>
          <w:p w14:paraId="688B9F18" w14:textId="77777777" w:rsidR="00607330" w:rsidRPr="00607330" w:rsidRDefault="00607330" w:rsidP="00DA09CE">
            <w:pPr>
              <w:pStyle w:val="TableParagraph"/>
              <w:spacing w:before="12" w:line="218" w:lineRule="exact"/>
              <w:ind w:right="176"/>
              <w:jc w:val="center"/>
              <w:rPr>
                <w:bCs/>
                <w:color w:val="1C1C1C"/>
                <w:spacing w:val="-2"/>
                <w:sz w:val="22"/>
                <w:szCs w:val="22"/>
              </w:rPr>
            </w:pPr>
            <w:r w:rsidRPr="00607330">
              <w:rPr>
                <w:bCs/>
                <w:color w:val="1C1C1C"/>
                <w:spacing w:val="-2"/>
                <w:sz w:val="22"/>
                <w:szCs w:val="22"/>
              </w:rPr>
              <w:t>€ 300 per ogni giorno di contestazione</w:t>
            </w:r>
          </w:p>
        </w:tc>
        <w:tc>
          <w:tcPr>
            <w:tcW w:w="2835" w:type="dxa"/>
          </w:tcPr>
          <w:p w14:paraId="4F6339D4" w14:textId="77777777" w:rsidR="00607330" w:rsidRPr="00607330" w:rsidRDefault="00607330" w:rsidP="00DA09CE">
            <w:pPr>
              <w:pStyle w:val="TableParagraph"/>
              <w:spacing w:before="12" w:line="218" w:lineRule="exact"/>
              <w:ind w:right="-103"/>
              <w:jc w:val="center"/>
              <w:rPr>
                <w:bCs/>
                <w:color w:val="1C1C1C"/>
                <w:spacing w:val="-2"/>
                <w:sz w:val="22"/>
                <w:szCs w:val="22"/>
              </w:rPr>
            </w:pPr>
          </w:p>
          <w:p w14:paraId="2CAE5940" w14:textId="77777777" w:rsidR="00607330" w:rsidRPr="00607330" w:rsidRDefault="00607330" w:rsidP="00DA09CE">
            <w:pPr>
              <w:pStyle w:val="TableParagraph"/>
              <w:spacing w:before="12" w:line="218" w:lineRule="exact"/>
              <w:ind w:right="-103"/>
              <w:jc w:val="center"/>
              <w:rPr>
                <w:bCs/>
                <w:color w:val="1C1C1C"/>
                <w:spacing w:val="-2"/>
                <w:sz w:val="22"/>
                <w:szCs w:val="22"/>
              </w:rPr>
            </w:pPr>
            <w:r w:rsidRPr="00607330">
              <w:rPr>
                <w:bCs/>
                <w:color w:val="1C1C1C"/>
                <w:spacing w:val="-2"/>
                <w:sz w:val="22"/>
                <w:szCs w:val="22"/>
              </w:rPr>
              <w:t>In caso mancato adeguamento nel temine di 20 giorni</w:t>
            </w:r>
          </w:p>
        </w:tc>
      </w:tr>
      <w:tr w:rsidR="00607330" w:rsidRPr="00607330" w14:paraId="6D0645D5" w14:textId="77777777" w:rsidTr="00607330">
        <w:tc>
          <w:tcPr>
            <w:tcW w:w="4253" w:type="dxa"/>
          </w:tcPr>
          <w:p w14:paraId="79CFDAF3"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Mancato funzionamento dei pannelli utili all'orientamento e all'informazione dei visitatori secondo le direttive emanate dal Parco</w:t>
            </w:r>
          </w:p>
        </w:tc>
        <w:tc>
          <w:tcPr>
            <w:tcW w:w="2551" w:type="dxa"/>
          </w:tcPr>
          <w:p w14:paraId="360F857A" w14:textId="77777777" w:rsidR="00607330" w:rsidRPr="00607330" w:rsidRDefault="00607330" w:rsidP="00DA09CE">
            <w:pPr>
              <w:pStyle w:val="TableParagraph"/>
              <w:spacing w:before="12" w:line="218" w:lineRule="exact"/>
              <w:ind w:right="176"/>
              <w:jc w:val="center"/>
              <w:rPr>
                <w:bCs/>
                <w:color w:val="1C1C1C"/>
                <w:spacing w:val="-2"/>
                <w:sz w:val="22"/>
                <w:szCs w:val="22"/>
              </w:rPr>
            </w:pPr>
          </w:p>
          <w:p w14:paraId="0C807410" w14:textId="77777777" w:rsidR="00607330" w:rsidRPr="00607330" w:rsidRDefault="00607330" w:rsidP="00DA09CE">
            <w:pPr>
              <w:pStyle w:val="TableParagraph"/>
              <w:spacing w:before="12" w:line="218" w:lineRule="exact"/>
              <w:ind w:right="176"/>
              <w:jc w:val="center"/>
              <w:rPr>
                <w:bCs/>
                <w:color w:val="1C1C1C"/>
                <w:spacing w:val="-2"/>
                <w:sz w:val="22"/>
                <w:szCs w:val="22"/>
              </w:rPr>
            </w:pPr>
            <w:r w:rsidRPr="00607330">
              <w:rPr>
                <w:bCs/>
                <w:color w:val="1C1C1C"/>
                <w:spacing w:val="-2"/>
                <w:sz w:val="22"/>
                <w:szCs w:val="22"/>
              </w:rPr>
              <w:t>€ 100 per ogni giorno di contestazione</w:t>
            </w:r>
          </w:p>
        </w:tc>
        <w:tc>
          <w:tcPr>
            <w:tcW w:w="2835" w:type="dxa"/>
          </w:tcPr>
          <w:p w14:paraId="36F13C04" w14:textId="77777777" w:rsidR="00607330" w:rsidRPr="00607330" w:rsidRDefault="00607330" w:rsidP="00DA09CE">
            <w:pPr>
              <w:pStyle w:val="TableParagraph"/>
              <w:spacing w:before="12" w:line="218" w:lineRule="exact"/>
              <w:ind w:right="-103"/>
              <w:jc w:val="center"/>
              <w:rPr>
                <w:bCs/>
                <w:color w:val="1C1C1C"/>
                <w:spacing w:val="-2"/>
                <w:sz w:val="22"/>
                <w:szCs w:val="22"/>
              </w:rPr>
            </w:pPr>
          </w:p>
          <w:p w14:paraId="5F9833C0" w14:textId="77777777" w:rsidR="00607330" w:rsidRPr="00607330" w:rsidRDefault="00607330" w:rsidP="00DA09CE">
            <w:pPr>
              <w:pStyle w:val="TableParagraph"/>
              <w:spacing w:before="12" w:line="218" w:lineRule="exact"/>
              <w:ind w:right="-103"/>
              <w:jc w:val="center"/>
              <w:rPr>
                <w:bCs/>
                <w:color w:val="1C1C1C"/>
                <w:spacing w:val="-2"/>
                <w:sz w:val="22"/>
                <w:szCs w:val="22"/>
              </w:rPr>
            </w:pPr>
            <w:r w:rsidRPr="00607330">
              <w:rPr>
                <w:bCs/>
                <w:color w:val="1C1C1C"/>
                <w:spacing w:val="-2"/>
                <w:sz w:val="22"/>
                <w:szCs w:val="22"/>
              </w:rPr>
              <w:t>In caso mancato adeguamento nel temine di 30 giorni</w:t>
            </w:r>
          </w:p>
        </w:tc>
      </w:tr>
      <w:tr w:rsidR="00607330" w:rsidRPr="00607330" w14:paraId="1C85CBBD" w14:textId="77777777" w:rsidTr="00607330">
        <w:tc>
          <w:tcPr>
            <w:tcW w:w="4253" w:type="dxa"/>
          </w:tcPr>
          <w:p w14:paraId="24B1EA9A"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Mancato attivazione dei servizi e di tutte le migliorie, offerte in sede di gara</w:t>
            </w:r>
          </w:p>
        </w:tc>
        <w:tc>
          <w:tcPr>
            <w:tcW w:w="2551" w:type="dxa"/>
          </w:tcPr>
          <w:p w14:paraId="5881D0EA" w14:textId="77777777" w:rsidR="00607330" w:rsidRPr="00607330" w:rsidRDefault="00607330" w:rsidP="00DA09CE">
            <w:pPr>
              <w:pStyle w:val="TableParagraph"/>
              <w:spacing w:before="12" w:line="218" w:lineRule="exact"/>
              <w:ind w:right="176"/>
              <w:jc w:val="center"/>
              <w:rPr>
                <w:bCs/>
                <w:color w:val="1C1C1C"/>
                <w:spacing w:val="-2"/>
                <w:sz w:val="22"/>
                <w:szCs w:val="22"/>
              </w:rPr>
            </w:pPr>
            <w:r w:rsidRPr="00607330">
              <w:rPr>
                <w:bCs/>
                <w:color w:val="1C1C1C"/>
                <w:spacing w:val="-2"/>
                <w:sz w:val="22"/>
                <w:szCs w:val="22"/>
              </w:rPr>
              <w:t>€ 400 per ogni giorno di contestazione</w:t>
            </w:r>
          </w:p>
        </w:tc>
        <w:tc>
          <w:tcPr>
            <w:tcW w:w="2835" w:type="dxa"/>
          </w:tcPr>
          <w:p w14:paraId="073878FA" w14:textId="77777777" w:rsidR="00607330" w:rsidRPr="00607330" w:rsidRDefault="00607330" w:rsidP="00DA09CE">
            <w:pPr>
              <w:pStyle w:val="TableParagraph"/>
              <w:spacing w:before="12" w:line="218" w:lineRule="exact"/>
              <w:ind w:right="-103"/>
              <w:jc w:val="center"/>
              <w:rPr>
                <w:bCs/>
                <w:color w:val="1C1C1C"/>
                <w:spacing w:val="-2"/>
                <w:sz w:val="22"/>
                <w:szCs w:val="22"/>
              </w:rPr>
            </w:pPr>
            <w:r w:rsidRPr="00607330">
              <w:rPr>
                <w:bCs/>
                <w:color w:val="1C1C1C"/>
                <w:spacing w:val="-2"/>
                <w:sz w:val="22"/>
                <w:szCs w:val="22"/>
              </w:rPr>
              <w:t>In caso mancato adeguamento nel temine di 20 giorni</w:t>
            </w:r>
          </w:p>
        </w:tc>
      </w:tr>
      <w:tr w:rsidR="00607330" w:rsidRPr="00607330" w14:paraId="0D5E833E" w14:textId="77777777" w:rsidTr="00607330">
        <w:tc>
          <w:tcPr>
            <w:tcW w:w="4253" w:type="dxa"/>
          </w:tcPr>
          <w:p w14:paraId="53E5DEFC"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Mancato avvicendamento tra i gestori</w:t>
            </w:r>
          </w:p>
        </w:tc>
        <w:tc>
          <w:tcPr>
            <w:tcW w:w="2551" w:type="dxa"/>
          </w:tcPr>
          <w:p w14:paraId="34A854C5" w14:textId="77777777" w:rsidR="00607330" w:rsidRPr="00607330" w:rsidRDefault="00607330" w:rsidP="00DA09CE">
            <w:pPr>
              <w:pStyle w:val="TableParagraph"/>
              <w:spacing w:before="12" w:line="218" w:lineRule="exact"/>
              <w:ind w:right="176"/>
              <w:rPr>
                <w:bCs/>
                <w:color w:val="1C1C1C"/>
                <w:spacing w:val="-2"/>
                <w:sz w:val="22"/>
                <w:szCs w:val="22"/>
              </w:rPr>
            </w:pPr>
          </w:p>
        </w:tc>
        <w:tc>
          <w:tcPr>
            <w:tcW w:w="2835" w:type="dxa"/>
          </w:tcPr>
          <w:p w14:paraId="38C8E0A2" w14:textId="77777777" w:rsidR="00607330" w:rsidRPr="00607330" w:rsidRDefault="00607330" w:rsidP="00DA09CE">
            <w:pPr>
              <w:pStyle w:val="TableParagraph"/>
              <w:spacing w:before="12" w:line="218" w:lineRule="exact"/>
              <w:ind w:right="-103"/>
              <w:jc w:val="center"/>
              <w:rPr>
                <w:bCs/>
                <w:color w:val="1C1C1C"/>
                <w:spacing w:val="-2"/>
                <w:sz w:val="22"/>
                <w:szCs w:val="22"/>
              </w:rPr>
            </w:pPr>
            <w:r w:rsidRPr="00607330">
              <w:rPr>
                <w:bCs/>
                <w:color w:val="1C1C1C"/>
                <w:spacing w:val="-2"/>
                <w:sz w:val="22"/>
                <w:szCs w:val="22"/>
              </w:rPr>
              <w:t>Incameramento cauzione definitiva dopo 10 giorni dalla contestazione</w:t>
            </w:r>
          </w:p>
        </w:tc>
      </w:tr>
      <w:tr w:rsidR="00607330" w:rsidRPr="00607330" w14:paraId="7842109D" w14:textId="77777777" w:rsidTr="00607330">
        <w:tc>
          <w:tcPr>
            <w:tcW w:w="4253" w:type="dxa"/>
          </w:tcPr>
          <w:p w14:paraId="7DDD9392"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Mancata attuazione del piano di Marketing</w:t>
            </w:r>
          </w:p>
        </w:tc>
        <w:tc>
          <w:tcPr>
            <w:tcW w:w="2551" w:type="dxa"/>
          </w:tcPr>
          <w:p w14:paraId="38735521" w14:textId="77777777" w:rsidR="00607330" w:rsidRPr="00607330" w:rsidRDefault="00607330" w:rsidP="00DA09CE">
            <w:pPr>
              <w:pStyle w:val="TableParagraph"/>
              <w:spacing w:before="12" w:line="218" w:lineRule="exact"/>
              <w:ind w:right="-103"/>
              <w:jc w:val="center"/>
              <w:rPr>
                <w:bCs/>
                <w:color w:val="1C1C1C"/>
                <w:spacing w:val="-2"/>
                <w:sz w:val="22"/>
                <w:szCs w:val="22"/>
              </w:rPr>
            </w:pPr>
            <w:r w:rsidRPr="00607330">
              <w:rPr>
                <w:bCs/>
                <w:color w:val="1C1C1C"/>
                <w:spacing w:val="-2"/>
                <w:sz w:val="22"/>
                <w:szCs w:val="22"/>
              </w:rPr>
              <w:t>€ 1.000 per ogni giorno di contestazione</w:t>
            </w:r>
          </w:p>
        </w:tc>
        <w:tc>
          <w:tcPr>
            <w:tcW w:w="2835" w:type="dxa"/>
          </w:tcPr>
          <w:p w14:paraId="3B95AE07" w14:textId="77777777" w:rsidR="00607330" w:rsidRPr="00607330" w:rsidRDefault="00607330" w:rsidP="00DA09CE">
            <w:pPr>
              <w:pStyle w:val="TableParagraph"/>
              <w:spacing w:before="12" w:line="218" w:lineRule="exact"/>
              <w:ind w:right="-103"/>
              <w:jc w:val="center"/>
              <w:rPr>
                <w:bCs/>
                <w:color w:val="1C1C1C"/>
                <w:spacing w:val="-2"/>
                <w:sz w:val="22"/>
                <w:szCs w:val="22"/>
              </w:rPr>
            </w:pPr>
            <w:r w:rsidRPr="00607330">
              <w:rPr>
                <w:bCs/>
                <w:color w:val="1C1C1C"/>
                <w:spacing w:val="-2"/>
                <w:sz w:val="22"/>
                <w:szCs w:val="22"/>
              </w:rPr>
              <w:t>In caso mancato adeguamento nel temine di 30 giorni</w:t>
            </w:r>
          </w:p>
        </w:tc>
      </w:tr>
      <w:tr w:rsidR="00607330" w:rsidRPr="00607330" w14:paraId="329B3DAA" w14:textId="77777777" w:rsidTr="00607330">
        <w:tc>
          <w:tcPr>
            <w:tcW w:w="4253" w:type="dxa"/>
          </w:tcPr>
          <w:p w14:paraId="19846195"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Mancato versamento dei canoni e royalty</w:t>
            </w:r>
          </w:p>
        </w:tc>
        <w:tc>
          <w:tcPr>
            <w:tcW w:w="2551" w:type="dxa"/>
          </w:tcPr>
          <w:p w14:paraId="06A03F10" w14:textId="77777777" w:rsidR="00607330" w:rsidRPr="00607330" w:rsidRDefault="00607330" w:rsidP="00DA09CE">
            <w:pPr>
              <w:pStyle w:val="TableParagraph"/>
              <w:spacing w:before="12" w:line="218" w:lineRule="exact"/>
              <w:ind w:right="176"/>
              <w:jc w:val="center"/>
              <w:rPr>
                <w:bCs/>
                <w:color w:val="1C1C1C"/>
                <w:spacing w:val="-2"/>
                <w:sz w:val="22"/>
                <w:szCs w:val="22"/>
              </w:rPr>
            </w:pPr>
            <w:r w:rsidRPr="00607330">
              <w:rPr>
                <w:bCs/>
                <w:color w:val="1C1C1C"/>
                <w:spacing w:val="-2"/>
                <w:sz w:val="22"/>
                <w:szCs w:val="22"/>
              </w:rPr>
              <w:t>€ 200 per ogni giorno di contestazione</w:t>
            </w:r>
          </w:p>
        </w:tc>
        <w:tc>
          <w:tcPr>
            <w:tcW w:w="2835" w:type="dxa"/>
          </w:tcPr>
          <w:p w14:paraId="4CA0098D" w14:textId="77777777" w:rsidR="00607330" w:rsidRPr="00607330" w:rsidRDefault="00607330" w:rsidP="00DA09CE">
            <w:pPr>
              <w:pStyle w:val="TableParagraph"/>
              <w:spacing w:before="12" w:line="218" w:lineRule="exact"/>
              <w:ind w:right="-103" w:hanging="31"/>
              <w:jc w:val="center"/>
              <w:rPr>
                <w:bCs/>
                <w:color w:val="1C1C1C"/>
                <w:spacing w:val="-2"/>
                <w:sz w:val="22"/>
                <w:szCs w:val="22"/>
              </w:rPr>
            </w:pPr>
            <w:r w:rsidRPr="00607330">
              <w:rPr>
                <w:bCs/>
                <w:color w:val="1C1C1C"/>
                <w:spacing w:val="-2"/>
                <w:sz w:val="22"/>
                <w:szCs w:val="22"/>
              </w:rPr>
              <w:t>In caso mancato adeguamento nel temine di 30 giorni</w:t>
            </w:r>
          </w:p>
        </w:tc>
      </w:tr>
      <w:tr w:rsidR="00607330" w:rsidRPr="00607330" w14:paraId="1DBF1FF5" w14:textId="77777777" w:rsidTr="00607330">
        <w:tc>
          <w:tcPr>
            <w:tcW w:w="4253" w:type="dxa"/>
          </w:tcPr>
          <w:p w14:paraId="08997BA0" w14:textId="77777777" w:rsidR="00607330" w:rsidRPr="00607330" w:rsidRDefault="00607330" w:rsidP="00DA09CE">
            <w:pPr>
              <w:pStyle w:val="TableParagraph"/>
              <w:spacing w:before="12" w:line="218" w:lineRule="exact"/>
              <w:ind w:right="41"/>
              <w:jc w:val="both"/>
              <w:rPr>
                <w:bCs/>
                <w:color w:val="1C1C1C"/>
                <w:spacing w:val="-2"/>
                <w:sz w:val="22"/>
                <w:szCs w:val="22"/>
              </w:rPr>
            </w:pPr>
            <w:r w:rsidRPr="00607330">
              <w:rPr>
                <w:bCs/>
                <w:color w:val="1C1C1C"/>
                <w:spacing w:val="-2"/>
                <w:sz w:val="22"/>
                <w:szCs w:val="22"/>
              </w:rPr>
              <w:t>Mancata presentazione piano editoriale</w:t>
            </w:r>
          </w:p>
        </w:tc>
        <w:tc>
          <w:tcPr>
            <w:tcW w:w="2551" w:type="dxa"/>
          </w:tcPr>
          <w:p w14:paraId="03286CF0" w14:textId="77777777" w:rsidR="00607330" w:rsidRPr="00607330" w:rsidRDefault="00607330" w:rsidP="00DA09CE">
            <w:pPr>
              <w:pStyle w:val="TableParagraph"/>
              <w:spacing w:before="12" w:line="218" w:lineRule="exact"/>
              <w:ind w:right="176"/>
              <w:jc w:val="center"/>
              <w:rPr>
                <w:bCs/>
                <w:color w:val="1C1C1C"/>
                <w:spacing w:val="-2"/>
                <w:sz w:val="22"/>
                <w:szCs w:val="22"/>
              </w:rPr>
            </w:pPr>
            <w:r w:rsidRPr="00607330">
              <w:rPr>
                <w:bCs/>
                <w:color w:val="1C1C1C"/>
                <w:spacing w:val="-2"/>
                <w:sz w:val="22"/>
                <w:szCs w:val="22"/>
              </w:rPr>
              <w:t>€ 100 per ogni giorno di contestazione</w:t>
            </w:r>
          </w:p>
        </w:tc>
        <w:tc>
          <w:tcPr>
            <w:tcW w:w="2835" w:type="dxa"/>
          </w:tcPr>
          <w:p w14:paraId="40E7F56D" w14:textId="77777777" w:rsidR="00607330" w:rsidRPr="00607330" w:rsidRDefault="00607330" w:rsidP="00DA09CE">
            <w:pPr>
              <w:pStyle w:val="TableParagraph"/>
              <w:spacing w:before="12" w:line="218" w:lineRule="exact"/>
              <w:ind w:right="-103" w:hanging="31"/>
              <w:jc w:val="center"/>
              <w:rPr>
                <w:bCs/>
                <w:color w:val="1C1C1C"/>
                <w:spacing w:val="-2"/>
                <w:sz w:val="22"/>
                <w:szCs w:val="22"/>
              </w:rPr>
            </w:pPr>
            <w:r w:rsidRPr="00607330">
              <w:rPr>
                <w:bCs/>
                <w:color w:val="1C1C1C"/>
                <w:spacing w:val="-2"/>
                <w:sz w:val="22"/>
                <w:szCs w:val="22"/>
              </w:rPr>
              <w:t>In caso mancato adeguamento nel temine di 20 giorni</w:t>
            </w:r>
          </w:p>
        </w:tc>
      </w:tr>
    </w:tbl>
    <w:p w14:paraId="1386A702" w14:textId="1769FD1C" w:rsidR="00607330" w:rsidRPr="00D72E40" w:rsidRDefault="00607330" w:rsidP="00D72E40">
      <w:pPr>
        <w:pStyle w:val="Corpotesto"/>
        <w:kinsoku w:val="0"/>
        <w:overflowPunct w:val="0"/>
        <w:spacing w:before="5"/>
        <w:ind w:right="62"/>
        <w:jc w:val="both"/>
        <w:rPr>
          <w:rFonts w:asciiTheme="majorBidi" w:hAnsiTheme="majorBidi"/>
          <w:sz w:val="22"/>
          <w:szCs w:val="22"/>
        </w:rPr>
      </w:pPr>
      <w:r w:rsidRPr="00607330">
        <w:rPr>
          <w:rFonts w:asciiTheme="majorBidi" w:hAnsiTheme="majorBidi"/>
          <w:sz w:val="22"/>
          <w:szCs w:val="22"/>
        </w:rPr>
        <w:t>In ogni altra ipotesi di inadempimento, non prevista tra quelle precedentemente menzionate, potrà essere comminata una penale da € 50,00 ad € 10.000,00 in relazione alla gravità del singolo inadempimento che sarà accertata mediante procedimento in contraddittorio, salvo cause di forza maggiore.</w:t>
      </w:r>
      <w:r w:rsidRPr="00607330">
        <w:rPr>
          <w:sz w:val="22"/>
          <w:szCs w:val="22"/>
        </w:rPr>
        <w:t xml:space="preserve"> </w:t>
      </w:r>
      <w:r w:rsidRPr="00607330">
        <w:rPr>
          <w:rFonts w:asciiTheme="majorBidi" w:hAnsiTheme="majorBidi"/>
          <w:sz w:val="22"/>
          <w:szCs w:val="22"/>
        </w:rPr>
        <w:t xml:space="preserve">La Stazione Appaltante per la riscossione dei crediti derivanti dall'applicazione delle penali, potrà rivalersi sulla garanzia definitiva nonché eventualmente anche sull'Aggio senza bisogno di diffida, ulteriore accertamento o procedimento giudiziario. </w:t>
      </w:r>
    </w:p>
    <w:p w14:paraId="6D316E59" w14:textId="5D25D36A" w:rsidR="00F13291" w:rsidRPr="00607330" w:rsidRDefault="00607330" w:rsidP="00607330">
      <w:pPr>
        <w:pStyle w:val="Default"/>
        <w:spacing w:line="276" w:lineRule="auto"/>
        <w:jc w:val="center"/>
        <w:rPr>
          <w:b/>
          <w:bCs/>
          <w:sz w:val="22"/>
          <w:szCs w:val="22"/>
        </w:rPr>
      </w:pPr>
      <w:r>
        <w:rPr>
          <w:b/>
          <w:bCs/>
          <w:sz w:val="22"/>
          <w:szCs w:val="22"/>
        </w:rPr>
        <w:t xml:space="preserve">ART. 8 - </w:t>
      </w:r>
      <w:r w:rsidR="00F13291" w:rsidRPr="00607330">
        <w:rPr>
          <w:b/>
          <w:bCs/>
          <w:sz w:val="22"/>
          <w:szCs w:val="22"/>
        </w:rPr>
        <w:t>RECESSO</w:t>
      </w:r>
    </w:p>
    <w:p w14:paraId="1C6334A2" w14:textId="1BB3683D" w:rsidR="00F13291" w:rsidRPr="00607330" w:rsidRDefault="00F13291" w:rsidP="001945CE">
      <w:pPr>
        <w:pStyle w:val="Default"/>
        <w:spacing w:line="276" w:lineRule="auto"/>
        <w:jc w:val="both"/>
        <w:rPr>
          <w:sz w:val="22"/>
          <w:szCs w:val="22"/>
        </w:rPr>
      </w:pPr>
      <w:r w:rsidRPr="00607330">
        <w:rPr>
          <w:sz w:val="22"/>
          <w:szCs w:val="22"/>
        </w:rPr>
        <w:t xml:space="preserve">Il Parco Archeologico e Paesaggistico di Siracusa </w:t>
      </w:r>
      <w:proofErr w:type="spellStart"/>
      <w:r w:rsidRPr="00607330">
        <w:rPr>
          <w:sz w:val="22"/>
          <w:szCs w:val="22"/>
        </w:rPr>
        <w:t>Eloro</w:t>
      </w:r>
      <w:proofErr w:type="spellEnd"/>
      <w:r w:rsidRPr="00607330">
        <w:rPr>
          <w:sz w:val="22"/>
          <w:szCs w:val="22"/>
        </w:rPr>
        <w:t xml:space="preserve">, Villa del Tellaro e </w:t>
      </w:r>
      <w:proofErr w:type="spellStart"/>
      <w:r w:rsidRPr="00607330">
        <w:rPr>
          <w:sz w:val="22"/>
          <w:szCs w:val="22"/>
        </w:rPr>
        <w:t>Akrai</w:t>
      </w:r>
      <w:proofErr w:type="spellEnd"/>
      <w:r w:rsidRPr="00607330">
        <w:rPr>
          <w:sz w:val="22"/>
          <w:szCs w:val="22"/>
        </w:rPr>
        <w:t xml:space="preserve"> si riserva la più ampia facoltà di rescindere il contratto con la ditta </w:t>
      </w:r>
      <w:r w:rsidR="00BB2F0D" w:rsidRPr="00607330">
        <w:rPr>
          <w:sz w:val="22"/>
          <w:szCs w:val="22"/>
        </w:rPr>
        <w:t>aggiudicataria ____________________</w:t>
      </w:r>
      <w:r w:rsidRPr="00607330">
        <w:rPr>
          <w:sz w:val="22"/>
          <w:szCs w:val="22"/>
        </w:rPr>
        <w:t xml:space="preserve"> qualora questa,</w:t>
      </w:r>
      <w:r w:rsidR="00BB2F0D" w:rsidRPr="00607330">
        <w:rPr>
          <w:sz w:val="22"/>
          <w:szCs w:val="22"/>
        </w:rPr>
        <w:t xml:space="preserve"> a giudizio insindacabile dell’a</w:t>
      </w:r>
      <w:r w:rsidRPr="00607330">
        <w:rPr>
          <w:sz w:val="22"/>
          <w:szCs w:val="22"/>
        </w:rPr>
        <w:t>mministrazione</w:t>
      </w:r>
      <w:r w:rsidR="00BB2F0D" w:rsidRPr="00607330">
        <w:rPr>
          <w:sz w:val="22"/>
          <w:szCs w:val="22"/>
        </w:rPr>
        <w:t xml:space="preserve"> concedente</w:t>
      </w:r>
      <w:r w:rsidRPr="00607330">
        <w:rPr>
          <w:sz w:val="22"/>
          <w:szCs w:val="22"/>
        </w:rPr>
        <w:t xml:space="preserve">, venisse meno ai patti contrattuali. </w:t>
      </w:r>
    </w:p>
    <w:p w14:paraId="435DA848" w14:textId="77777777" w:rsidR="00BB2F0D" w:rsidRPr="00607330" w:rsidRDefault="00F13291" w:rsidP="001945CE">
      <w:pPr>
        <w:autoSpaceDE w:val="0"/>
        <w:autoSpaceDN w:val="0"/>
        <w:adjustRightInd w:val="0"/>
        <w:spacing w:after="22"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Fermo restando quanto previsto in materia di recesso dagli artt. 88, comma 4-</w:t>
      </w:r>
      <w:r w:rsidRPr="00607330">
        <w:rPr>
          <w:rFonts w:ascii="Times New Roman" w:hAnsi="Times New Roman" w:cs="Times New Roman"/>
          <w:i/>
          <w:color w:val="000000"/>
          <w:kern w:val="0"/>
        </w:rPr>
        <w:t>ter</w:t>
      </w:r>
      <w:r w:rsidR="00BB2F0D" w:rsidRPr="00607330">
        <w:rPr>
          <w:rFonts w:ascii="Times New Roman" w:hAnsi="Times New Roman" w:cs="Times New Roman"/>
          <w:color w:val="000000"/>
          <w:kern w:val="0"/>
        </w:rPr>
        <w:t xml:space="preserve">, e 92, comma 4, del </w:t>
      </w:r>
      <w:proofErr w:type="gramStart"/>
      <w:r w:rsidR="00BB2F0D" w:rsidRPr="00607330">
        <w:rPr>
          <w:rFonts w:ascii="Times New Roman" w:hAnsi="Times New Roman" w:cs="Times New Roman"/>
          <w:color w:val="000000"/>
          <w:kern w:val="0"/>
        </w:rPr>
        <w:t>D.Lgs</w:t>
      </w:r>
      <w:proofErr w:type="gramEnd"/>
      <w:r w:rsidR="00BB2F0D" w:rsidRPr="00607330">
        <w:rPr>
          <w:rFonts w:ascii="Times New Roman" w:hAnsi="Times New Roman" w:cs="Times New Roman"/>
          <w:color w:val="000000"/>
          <w:kern w:val="0"/>
        </w:rPr>
        <w:t>. n. 159/2011, la c</w:t>
      </w:r>
      <w:r w:rsidRPr="00607330">
        <w:rPr>
          <w:rFonts w:ascii="Times New Roman" w:hAnsi="Times New Roman" w:cs="Times New Roman"/>
          <w:color w:val="000000"/>
          <w:kern w:val="0"/>
        </w:rPr>
        <w:t xml:space="preserve">ommittente ha diritto nei casi di giusta causa </w:t>
      </w:r>
      <w:r w:rsidR="00BB2F0D" w:rsidRPr="00607330">
        <w:rPr>
          <w:rFonts w:ascii="Times New Roman" w:hAnsi="Times New Roman" w:cs="Times New Roman"/>
          <w:color w:val="000000"/>
          <w:kern w:val="0"/>
        </w:rPr>
        <w:t xml:space="preserve">e di </w:t>
      </w:r>
      <w:r w:rsidRPr="00607330">
        <w:rPr>
          <w:rFonts w:ascii="Times New Roman" w:hAnsi="Times New Roman" w:cs="Times New Roman"/>
          <w:color w:val="000000"/>
          <w:kern w:val="0"/>
        </w:rPr>
        <w:t xml:space="preserve">reiterati inadempimenti del </w:t>
      </w:r>
      <w:r w:rsidR="00BB2F0D" w:rsidRPr="00607330">
        <w:rPr>
          <w:rFonts w:ascii="Times New Roman" w:hAnsi="Times New Roman" w:cs="Times New Roman"/>
          <w:color w:val="000000"/>
          <w:kern w:val="0"/>
        </w:rPr>
        <w:t xml:space="preserve">concessionario, anche se non gravi, </w:t>
      </w:r>
      <w:r w:rsidRPr="00607330">
        <w:rPr>
          <w:rFonts w:ascii="Times New Roman" w:hAnsi="Times New Roman" w:cs="Times New Roman"/>
          <w:color w:val="000000"/>
          <w:kern w:val="0"/>
        </w:rPr>
        <w:t>di recedere unilateralmente dal contratto in tutto o in parte, in qualsiasi momento, senza preavviso. In tal caso, l’Impresa ha diritto al pagamento di quanto correttamente eseguito a regola d’arte secondo i corrispettivi e le condizioni di contratto e rinuncia, ora per allora, a qualsiasi pretesa risarcitoria, ad ogni ulteriore compenso o indennizzo e/o rimborso delle spese anche in deroga a quan</w:t>
      </w:r>
      <w:r w:rsidR="00BB2F0D" w:rsidRPr="00607330">
        <w:rPr>
          <w:rFonts w:ascii="Times New Roman" w:hAnsi="Times New Roman" w:cs="Times New Roman"/>
          <w:color w:val="000000"/>
          <w:kern w:val="0"/>
        </w:rPr>
        <w:t>to previsto all’art. 1671 c.c.</w:t>
      </w:r>
    </w:p>
    <w:p w14:paraId="3006605B" w14:textId="37B4ED0D" w:rsidR="00F13291" w:rsidRPr="00607330" w:rsidRDefault="00F13291" w:rsidP="001945CE">
      <w:pPr>
        <w:autoSpaceDE w:val="0"/>
        <w:autoSpaceDN w:val="0"/>
        <w:adjustRightInd w:val="0"/>
        <w:spacing w:after="22"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Si conviene che per giusta causa si intende, a titolo meramente esemplificativo e non esaustivo</w:t>
      </w:r>
      <w:r w:rsidR="00BB2F0D" w:rsidRPr="00607330">
        <w:rPr>
          <w:rFonts w:ascii="Times New Roman" w:hAnsi="Times New Roman" w:cs="Times New Roman"/>
          <w:color w:val="000000"/>
          <w:kern w:val="0"/>
        </w:rPr>
        <w:t>, il ricorrere di una delle sotto riportate fattispecie</w:t>
      </w:r>
      <w:r w:rsidRPr="00607330">
        <w:rPr>
          <w:rFonts w:ascii="Times New Roman" w:hAnsi="Times New Roman" w:cs="Times New Roman"/>
          <w:color w:val="000000"/>
          <w:kern w:val="0"/>
        </w:rPr>
        <w:t xml:space="preserve">: </w:t>
      </w:r>
    </w:p>
    <w:p w14:paraId="571BE0D7" w14:textId="66436CE1" w:rsidR="00BB2F0D" w:rsidRPr="00607330" w:rsidRDefault="00F13291" w:rsidP="001945CE">
      <w:pPr>
        <w:autoSpaceDE w:val="0"/>
        <w:autoSpaceDN w:val="0"/>
        <w:adjustRightInd w:val="0"/>
        <w:spacing w:after="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a) qualora sia stato depositato contro il </w:t>
      </w:r>
      <w:r w:rsidR="00BB2F0D" w:rsidRPr="00607330">
        <w:rPr>
          <w:rFonts w:ascii="Times New Roman" w:hAnsi="Times New Roman" w:cs="Times New Roman"/>
          <w:color w:val="000000"/>
          <w:kern w:val="0"/>
        </w:rPr>
        <w:t>concessionario</w:t>
      </w:r>
      <w:r w:rsidRPr="00607330">
        <w:rPr>
          <w:rFonts w:ascii="Times New Roman" w:hAnsi="Times New Roman" w:cs="Times New Roman"/>
          <w:color w:val="000000"/>
          <w:kern w:val="0"/>
        </w:rPr>
        <w:t xml:space="preserve"> un ricorso ai sensi della legge fallimentare o di altra legge applicabile in materia di procedure concorsuali, che proponga lo scioglimento, la liquidazione, la composizione amichevole, la ristrutturazione dell’indebitamento o il concordato con i creditori, ovvero nel caso in cui venga designato un liquidatore, curatore, custode o soggetto avente simili funzioni, il quale entri in possesso dei beni o venga incaricato della gestione degli affari del </w:t>
      </w:r>
      <w:r w:rsidR="001945CE" w:rsidRPr="00607330">
        <w:rPr>
          <w:rFonts w:ascii="Times New Roman" w:hAnsi="Times New Roman" w:cs="Times New Roman"/>
          <w:color w:val="000000"/>
          <w:kern w:val="0"/>
        </w:rPr>
        <w:t>concessionario.</w:t>
      </w:r>
      <w:r w:rsidRPr="00607330">
        <w:rPr>
          <w:rFonts w:ascii="Times New Roman" w:hAnsi="Times New Roman" w:cs="Times New Roman"/>
          <w:color w:val="000000"/>
          <w:kern w:val="0"/>
        </w:rPr>
        <w:t xml:space="preserve"> </w:t>
      </w:r>
    </w:p>
    <w:p w14:paraId="60AA6B73" w14:textId="6F669FF5" w:rsidR="00BB2F0D" w:rsidRPr="00607330" w:rsidRDefault="00F13291" w:rsidP="00D72E40">
      <w:pPr>
        <w:autoSpaceDE w:val="0"/>
        <w:autoSpaceDN w:val="0"/>
        <w:adjustRightInd w:val="0"/>
        <w:spacing w:after="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b) ogni altra fattispecie che faccia venire meno il rapporto di f</w:t>
      </w:r>
      <w:r w:rsidR="00BB2F0D" w:rsidRPr="00607330">
        <w:rPr>
          <w:rFonts w:ascii="Times New Roman" w:hAnsi="Times New Roman" w:cs="Times New Roman"/>
          <w:color w:val="000000"/>
          <w:kern w:val="0"/>
        </w:rPr>
        <w:t>iducia sottostante il presente c</w:t>
      </w:r>
      <w:r w:rsidRPr="00607330">
        <w:rPr>
          <w:rFonts w:ascii="Times New Roman" w:hAnsi="Times New Roman" w:cs="Times New Roman"/>
          <w:color w:val="000000"/>
          <w:kern w:val="0"/>
        </w:rPr>
        <w:t xml:space="preserve">ontratto. </w:t>
      </w:r>
    </w:p>
    <w:p w14:paraId="4A5FD112" w14:textId="7080E402" w:rsidR="00F13291" w:rsidRPr="00607330" w:rsidRDefault="00F13291" w:rsidP="001945CE">
      <w:pPr>
        <w:autoSpaceDE w:val="0"/>
        <w:autoSpaceDN w:val="0"/>
        <w:adjustRightInd w:val="0"/>
        <w:spacing w:after="7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Nelle fattispecie di cui ai commi precedenti, </w:t>
      </w:r>
      <w:r w:rsidR="007A3C18" w:rsidRPr="00607330">
        <w:rPr>
          <w:rFonts w:ascii="Times New Roman" w:hAnsi="Times New Roman" w:cs="Times New Roman"/>
          <w:color w:val="000000"/>
          <w:kern w:val="0"/>
        </w:rPr>
        <w:t>l’impresa concessionaria</w:t>
      </w:r>
      <w:r w:rsidRPr="00607330">
        <w:rPr>
          <w:rFonts w:ascii="Times New Roman" w:hAnsi="Times New Roman" w:cs="Times New Roman"/>
          <w:color w:val="000000"/>
          <w:kern w:val="0"/>
        </w:rPr>
        <w:t xml:space="preserve"> rinuncia, ora per allora, a qualsiasi pretesa risarcitoria, ad ogni ulteriore compenso o indennizzo e/o rimborso spese. </w:t>
      </w:r>
    </w:p>
    <w:p w14:paraId="58E469F2" w14:textId="10EB988D" w:rsidR="00F13291" w:rsidRPr="00607330" w:rsidRDefault="00F13291" w:rsidP="001945CE">
      <w:pPr>
        <w:autoSpaceDE w:val="0"/>
        <w:autoSpaceDN w:val="0"/>
        <w:adjustRightInd w:val="0"/>
        <w:spacing w:after="7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Dalla data di efficacia del recesso, l’Impresa </w:t>
      </w:r>
      <w:r w:rsidR="007A3C18" w:rsidRPr="00607330">
        <w:rPr>
          <w:rFonts w:ascii="Times New Roman" w:hAnsi="Times New Roman" w:cs="Times New Roman"/>
          <w:color w:val="000000"/>
          <w:kern w:val="0"/>
        </w:rPr>
        <w:t xml:space="preserve">concessionaria </w:t>
      </w:r>
      <w:r w:rsidRPr="00607330">
        <w:rPr>
          <w:rFonts w:ascii="Times New Roman" w:hAnsi="Times New Roman" w:cs="Times New Roman"/>
          <w:color w:val="000000"/>
          <w:kern w:val="0"/>
        </w:rPr>
        <w:t xml:space="preserve">dovrà cessare tutte le prestazioni contrattuali, assicurando che tale cessazione </w:t>
      </w:r>
      <w:r w:rsidR="007A3C18" w:rsidRPr="00607330">
        <w:rPr>
          <w:rFonts w:ascii="Times New Roman" w:hAnsi="Times New Roman" w:cs="Times New Roman"/>
          <w:color w:val="000000"/>
          <w:kern w:val="0"/>
        </w:rPr>
        <w:t>non comporti danno alcuno alla committente. La c</w:t>
      </w:r>
      <w:r w:rsidRPr="00607330">
        <w:rPr>
          <w:rFonts w:ascii="Times New Roman" w:hAnsi="Times New Roman" w:cs="Times New Roman"/>
          <w:color w:val="000000"/>
          <w:kern w:val="0"/>
        </w:rPr>
        <w:t xml:space="preserve">ommittente effettuerà la verifica di conformità delle prestazioni sino a quel momento eseguite. </w:t>
      </w:r>
    </w:p>
    <w:p w14:paraId="3D711F26" w14:textId="5878D03E" w:rsidR="00607330" w:rsidRPr="00607330" w:rsidRDefault="00F13291" w:rsidP="00B146DA">
      <w:pPr>
        <w:autoSpaceDE w:val="0"/>
        <w:autoSpaceDN w:val="0"/>
        <w:adjustRightInd w:val="0"/>
        <w:spacing w:after="0" w:line="240" w:lineRule="auto"/>
        <w:jc w:val="both"/>
        <w:rPr>
          <w:rFonts w:ascii="Times New Roman" w:hAnsi="Times New Roman" w:cs="Times New Roman"/>
          <w:color w:val="000000"/>
          <w:kern w:val="0"/>
        </w:rPr>
      </w:pPr>
      <w:r w:rsidRPr="00D72E40">
        <w:rPr>
          <w:rFonts w:ascii="Times New Roman" w:hAnsi="Times New Roman" w:cs="Times New Roman"/>
          <w:color w:val="000000"/>
          <w:kern w:val="0"/>
        </w:rPr>
        <w:t xml:space="preserve">In aggiunta ai commi precedenti, la Committente, in ragione di quanto previsto dal decreto-legge 6 luglio 2012, n. 95 come convertito dalla legge del 7 agosto 2012 n. 135 e </w:t>
      </w:r>
      <w:proofErr w:type="spellStart"/>
      <w:r w:rsidRPr="00D72E40">
        <w:rPr>
          <w:rFonts w:ascii="Times New Roman" w:hAnsi="Times New Roman" w:cs="Times New Roman"/>
          <w:color w:val="000000"/>
          <w:kern w:val="0"/>
        </w:rPr>
        <w:t>s.m.i.</w:t>
      </w:r>
      <w:proofErr w:type="spellEnd"/>
      <w:r w:rsidRPr="00D72E40">
        <w:rPr>
          <w:rFonts w:ascii="Times New Roman" w:hAnsi="Times New Roman" w:cs="Times New Roman"/>
          <w:color w:val="000000"/>
          <w:kern w:val="0"/>
        </w:rPr>
        <w:t xml:space="preserve"> all’art. 1 comma 13, ha diritto di recedere in qualsiasi tempo dal presente contratto, previa formale comunicazione all'appaltatore con preavviso non inferiore a quindici giorni nel caso in cui i parametri delle convenzioni stipulate da Consip S.p.A. ai sensi dell'articolo 26, comma 1, della legge 23 dicembre 1999, n. 488 successivamente alla stipula del presente </w:t>
      </w:r>
      <w:r w:rsidRPr="00D72E40">
        <w:rPr>
          <w:rFonts w:ascii="Times New Roman" w:hAnsi="Times New Roman" w:cs="Times New Roman"/>
          <w:color w:val="000000"/>
          <w:kern w:val="0"/>
        </w:rPr>
        <w:lastRenderedPageBreak/>
        <w:t>contratto siano migliorativi rispetto a quelli del presente contratto ed il fornitore non acconsenta ad una modifica delle condizioni economiche. In tale caso, l’impresa ha diritto al pagamento delle prestazioni già eseguite oltre al decimo delle prestazioni non ancora eseguite.</w:t>
      </w:r>
      <w:r w:rsidRPr="00607330">
        <w:rPr>
          <w:rFonts w:ascii="Times New Roman" w:hAnsi="Times New Roman" w:cs="Times New Roman"/>
          <w:color w:val="000000"/>
          <w:kern w:val="0"/>
        </w:rPr>
        <w:t xml:space="preserve"> </w:t>
      </w:r>
    </w:p>
    <w:p w14:paraId="3A5A2245" w14:textId="641E7331" w:rsidR="00B146DA" w:rsidRPr="00D72E40" w:rsidRDefault="00D72E40" w:rsidP="00D72E40">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ART. 9</w:t>
      </w:r>
      <w:r w:rsidR="00B146DA" w:rsidRPr="00607330">
        <w:rPr>
          <w:rFonts w:ascii="Times New Roman" w:hAnsi="Times New Roman" w:cs="Times New Roman"/>
          <w:b/>
          <w:bCs/>
          <w:kern w:val="0"/>
        </w:rPr>
        <w:t xml:space="preserve"> - RISOLUZIONE</w:t>
      </w:r>
    </w:p>
    <w:p w14:paraId="06B58F38" w14:textId="208A8F12" w:rsidR="00B146DA" w:rsidRPr="00607330" w:rsidRDefault="009A1E0B" w:rsidP="00E97E63">
      <w:pPr>
        <w:autoSpaceDE w:val="0"/>
        <w:autoSpaceDN w:val="0"/>
        <w:adjustRightInd w:val="0"/>
        <w:spacing w:after="0" w:line="360" w:lineRule="auto"/>
        <w:jc w:val="both"/>
        <w:rPr>
          <w:rFonts w:ascii="Times New Roman" w:hAnsi="Times New Roman" w:cs="Times New Roman"/>
          <w:color w:val="000000"/>
          <w:kern w:val="0"/>
        </w:rPr>
      </w:pPr>
      <w:r w:rsidRPr="00607330">
        <w:rPr>
          <w:rFonts w:ascii="Times New Roman" w:hAnsi="Times New Roman" w:cs="Times New Roman"/>
          <w:color w:val="000000"/>
          <w:kern w:val="0"/>
        </w:rPr>
        <w:t>La committente</w:t>
      </w:r>
      <w:r w:rsidR="00B146DA" w:rsidRPr="00607330">
        <w:rPr>
          <w:rFonts w:ascii="Times New Roman" w:hAnsi="Times New Roman" w:cs="Times New Roman"/>
          <w:color w:val="000000"/>
          <w:kern w:val="0"/>
        </w:rPr>
        <w:t xml:space="preserve"> risolve il contratto di appalto, senza limiti di tempo, se ricorre una delle seguenti condizioni:</w:t>
      </w:r>
    </w:p>
    <w:p w14:paraId="7E4404D2" w14:textId="19110D0A" w:rsidR="00B146DA" w:rsidRPr="00607330" w:rsidRDefault="00B146DA" w:rsidP="00B146DA">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1. modifica sostanziale del contr</w:t>
      </w:r>
      <w:r w:rsidR="009A1E0B" w:rsidRPr="00607330">
        <w:rPr>
          <w:rFonts w:ascii="Times New Roman" w:hAnsi="Times New Roman" w:cs="Times New Roman"/>
          <w:color w:val="000000"/>
          <w:kern w:val="0"/>
        </w:rPr>
        <w:t xml:space="preserve">atto, ai sensi dell’art. 120 comma </w:t>
      </w:r>
      <w:r w:rsidRPr="00607330">
        <w:rPr>
          <w:rFonts w:ascii="Times New Roman" w:hAnsi="Times New Roman" w:cs="Times New Roman"/>
          <w:color w:val="000000"/>
          <w:kern w:val="0"/>
        </w:rPr>
        <w:t xml:space="preserve">6 del </w:t>
      </w:r>
      <w:proofErr w:type="gramStart"/>
      <w:r w:rsidR="009A1E0B" w:rsidRPr="00607330">
        <w:rPr>
          <w:rFonts w:ascii="Times New Roman" w:hAnsi="Times New Roman" w:cs="Times New Roman"/>
          <w:color w:val="000000"/>
          <w:kern w:val="0"/>
        </w:rPr>
        <w:t>D.Lgs</w:t>
      </w:r>
      <w:proofErr w:type="gramEnd"/>
      <w:r w:rsidR="009A1E0B" w:rsidRPr="00607330">
        <w:rPr>
          <w:rFonts w:ascii="Times New Roman" w:hAnsi="Times New Roman" w:cs="Times New Roman"/>
          <w:color w:val="000000"/>
          <w:kern w:val="0"/>
        </w:rPr>
        <w:t xml:space="preserve">. </w:t>
      </w:r>
      <w:r w:rsidRPr="00607330">
        <w:rPr>
          <w:rFonts w:ascii="Times New Roman" w:hAnsi="Times New Roman" w:cs="Times New Roman"/>
          <w:color w:val="000000"/>
          <w:kern w:val="0"/>
        </w:rPr>
        <w:t>36/2023</w:t>
      </w:r>
      <w:r w:rsidR="009A1E0B" w:rsidRPr="00607330">
        <w:rPr>
          <w:rFonts w:ascii="Times New Roman" w:hAnsi="Times New Roman" w:cs="Times New Roman"/>
          <w:color w:val="000000"/>
          <w:kern w:val="0"/>
        </w:rPr>
        <w:t xml:space="preserve"> e ss.mm.ii.</w:t>
      </w:r>
      <w:r w:rsidRPr="00607330">
        <w:rPr>
          <w:rFonts w:ascii="Times New Roman" w:hAnsi="Times New Roman" w:cs="Times New Roman"/>
          <w:color w:val="000000"/>
          <w:kern w:val="0"/>
        </w:rPr>
        <w:t>;</w:t>
      </w:r>
    </w:p>
    <w:p w14:paraId="1279F64F" w14:textId="77777777" w:rsidR="00B146DA" w:rsidRPr="00607330" w:rsidRDefault="00B146DA" w:rsidP="00B146DA">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2. violazione degli obblighi derivanti dai trattati, come riconosciuto dalla Corte di giustizia dell'Unione europea in un procedimento, ai sensi dell'art. 258 del TFUE;</w:t>
      </w:r>
    </w:p>
    <w:p w14:paraId="6BEAFEA7" w14:textId="44083986" w:rsidR="00B146DA" w:rsidRPr="00607330" w:rsidRDefault="00B146DA" w:rsidP="00B146DA">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3. decadenza dell'attestazione di qualificazione dell'esecutore </w:t>
      </w:r>
      <w:r w:rsidR="009A1E0B" w:rsidRPr="00607330">
        <w:rPr>
          <w:rFonts w:ascii="Times New Roman" w:hAnsi="Times New Roman" w:cs="Times New Roman"/>
          <w:color w:val="000000"/>
          <w:kern w:val="0"/>
        </w:rPr>
        <w:t>dei servizi</w:t>
      </w:r>
      <w:r w:rsidRPr="00607330">
        <w:rPr>
          <w:rFonts w:ascii="Times New Roman" w:hAnsi="Times New Roman" w:cs="Times New Roman"/>
          <w:color w:val="000000"/>
          <w:kern w:val="0"/>
        </w:rPr>
        <w:t xml:space="preserve"> a causa di falsa documentazione o dichiarazioni mendaci;</w:t>
      </w:r>
    </w:p>
    <w:p w14:paraId="31383139" w14:textId="175A1105" w:rsidR="00B146DA" w:rsidRPr="00607330" w:rsidRDefault="00B146DA" w:rsidP="00B146DA">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4. provvedimento definitivo che dispone l'applic</w:t>
      </w:r>
      <w:r w:rsidR="009A1E0B" w:rsidRPr="00607330">
        <w:rPr>
          <w:rFonts w:ascii="Times New Roman" w:hAnsi="Times New Roman" w:cs="Times New Roman"/>
          <w:color w:val="000000"/>
          <w:kern w:val="0"/>
        </w:rPr>
        <w:t>azione di misure di prevenzione;</w:t>
      </w:r>
    </w:p>
    <w:p w14:paraId="53C5288E" w14:textId="5FF12063" w:rsidR="00B146DA" w:rsidRPr="00607330" w:rsidRDefault="00B146DA" w:rsidP="00B146DA">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5. l'inadempimento degli obblighi relativi al pagamento delle imposte e delle tasse relative</w:t>
      </w:r>
      <w:r w:rsidR="009A1E0B" w:rsidRPr="00607330">
        <w:rPr>
          <w:rFonts w:ascii="Times New Roman" w:hAnsi="Times New Roman" w:cs="Times New Roman"/>
          <w:color w:val="000000"/>
          <w:kern w:val="0"/>
        </w:rPr>
        <w:t xml:space="preserve"> alle attività di gestione dei s</w:t>
      </w:r>
      <w:r w:rsidRPr="00607330">
        <w:rPr>
          <w:rFonts w:ascii="Times New Roman" w:hAnsi="Times New Roman" w:cs="Times New Roman"/>
          <w:color w:val="000000"/>
          <w:kern w:val="0"/>
        </w:rPr>
        <w:t>ervizi affidati;</w:t>
      </w:r>
    </w:p>
    <w:p w14:paraId="4DB1A90D" w14:textId="77777777" w:rsidR="00B146DA" w:rsidRPr="00607330" w:rsidRDefault="00B146DA" w:rsidP="00B146DA">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6. la cessione, anche parziale, del contratto;</w:t>
      </w:r>
    </w:p>
    <w:p w14:paraId="33AF2CEB" w14:textId="77777777" w:rsidR="00B146DA" w:rsidRPr="00607330" w:rsidRDefault="00B146DA" w:rsidP="00B146DA">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7. il ritardo grave nell'adempimento del servizio e/o il reiterato mancato rispetto delle prescrizioni imposte dal contratto di affidamento e dal resto della documentazione di gara allo stesso integrativo;</w:t>
      </w:r>
    </w:p>
    <w:p w14:paraId="625AFB00" w14:textId="40746AEE" w:rsidR="00B146DA" w:rsidRPr="00607330" w:rsidRDefault="00B146DA" w:rsidP="00B146DA">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8. mancato avvio delle migliori</w:t>
      </w:r>
      <w:r w:rsidR="009A1E0B" w:rsidRPr="00607330">
        <w:rPr>
          <w:rFonts w:ascii="Times New Roman" w:hAnsi="Times New Roman" w:cs="Times New Roman"/>
          <w:color w:val="000000"/>
          <w:kern w:val="0"/>
        </w:rPr>
        <w:t>e</w:t>
      </w:r>
      <w:r w:rsidRPr="00607330">
        <w:rPr>
          <w:rFonts w:ascii="Times New Roman" w:hAnsi="Times New Roman" w:cs="Times New Roman"/>
          <w:color w:val="000000"/>
          <w:kern w:val="0"/>
        </w:rPr>
        <w:t>, presentate in sede di gara;</w:t>
      </w:r>
    </w:p>
    <w:p w14:paraId="575C21B7" w14:textId="3E745970" w:rsidR="00B146DA" w:rsidRPr="00607330" w:rsidRDefault="00B146DA" w:rsidP="00B146DA">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Il contratto di appalto può essere risolto per grave inadempimento delle obbligazioni contrattuali da parte del concessionario, tale da compromettere la buona riuscita delle attività prevista dalla migliore che dal </w:t>
      </w:r>
      <w:r w:rsidR="009A1E0B" w:rsidRPr="00607330">
        <w:rPr>
          <w:rFonts w:ascii="Times New Roman" w:hAnsi="Times New Roman" w:cs="Times New Roman"/>
          <w:color w:val="000000"/>
          <w:kern w:val="0"/>
        </w:rPr>
        <w:t>capitolato tecnico. I</w:t>
      </w:r>
      <w:r w:rsidRPr="00607330">
        <w:rPr>
          <w:rFonts w:ascii="Times New Roman" w:hAnsi="Times New Roman" w:cs="Times New Roman"/>
          <w:color w:val="000000"/>
          <w:kern w:val="0"/>
        </w:rPr>
        <w:t xml:space="preserve">n questo caso, il DEC, accertato il grave inadempimento alle obbligazioni contrattuali da parte del </w:t>
      </w:r>
      <w:r w:rsidR="009A1E0B" w:rsidRPr="00607330">
        <w:rPr>
          <w:rFonts w:ascii="Times New Roman" w:hAnsi="Times New Roman" w:cs="Times New Roman"/>
          <w:color w:val="000000"/>
          <w:kern w:val="0"/>
        </w:rPr>
        <w:t>concessionario</w:t>
      </w:r>
      <w:r w:rsidRPr="00607330">
        <w:rPr>
          <w:rFonts w:ascii="Times New Roman" w:hAnsi="Times New Roman" w:cs="Times New Roman"/>
          <w:color w:val="000000"/>
          <w:kern w:val="0"/>
        </w:rPr>
        <w:t xml:space="preserve">, procede secondo quanto stabilito dall'art. </w:t>
      </w:r>
      <w:r w:rsidR="009A1E0B" w:rsidRPr="00607330">
        <w:rPr>
          <w:rFonts w:ascii="Times New Roman" w:hAnsi="Times New Roman" w:cs="Times New Roman"/>
          <w:color w:val="000000"/>
          <w:kern w:val="0"/>
        </w:rPr>
        <w:t xml:space="preserve">10 dell'allegato II.14 del </w:t>
      </w:r>
      <w:proofErr w:type="gramStart"/>
      <w:r w:rsidR="009A1E0B" w:rsidRPr="00607330">
        <w:rPr>
          <w:rFonts w:ascii="Times New Roman" w:hAnsi="Times New Roman" w:cs="Times New Roman"/>
          <w:color w:val="000000"/>
          <w:kern w:val="0"/>
        </w:rPr>
        <w:t>D.Lgs</w:t>
      </w:r>
      <w:proofErr w:type="gramEnd"/>
      <w:r w:rsidR="009A1E0B" w:rsidRPr="00607330">
        <w:rPr>
          <w:rFonts w:ascii="Times New Roman" w:hAnsi="Times New Roman" w:cs="Times New Roman"/>
          <w:color w:val="000000"/>
          <w:kern w:val="0"/>
        </w:rPr>
        <w:t xml:space="preserve">. </w:t>
      </w:r>
      <w:r w:rsidRPr="00607330">
        <w:rPr>
          <w:rFonts w:ascii="Times New Roman" w:hAnsi="Times New Roman" w:cs="Times New Roman"/>
          <w:color w:val="000000"/>
          <w:kern w:val="0"/>
        </w:rPr>
        <w:t>36/2023</w:t>
      </w:r>
      <w:r w:rsidR="009A1E0B" w:rsidRPr="00607330">
        <w:rPr>
          <w:rFonts w:ascii="Times New Roman" w:hAnsi="Times New Roman" w:cs="Times New Roman"/>
          <w:color w:val="000000"/>
          <w:kern w:val="0"/>
        </w:rPr>
        <w:t xml:space="preserve"> e ss.mm.ii.:</w:t>
      </w:r>
    </w:p>
    <w:p w14:paraId="048646D8" w14:textId="446D43E1" w:rsidR="00B146DA" w:rsidRPr="00607330" w:rsidRDefault="00B146DA" w:rsidP="00B146DA">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invia al RUP</w:t>
      </w:r>
      <w:r w:rsidR="009A1E0B" w:rsidRPr="00607330">
        <w:rPr>
          <w:rFonts w:ascii="Times New Roman" w:hAnsi="Times New Roman" w:cs="Times New Roman"/>
          <w:color w:val="000000"/>
          <w:kern w:val="0"/>
        </w:rPr>
        <w:t xml:space="preserve"> dell’esecuzione</w:t>
      </w:r>
      <w:r w:rsidRPr="00607330">
        <w:rPr>
          <w:rFonts w:ascii="Times New Roman" w:hAnsi="Times New Roman" w:cs="Times New Roman"/>
          <w:color w:val="000000"/>
          <w:kern w:val="0"/>
        </w:rPr>
        <w:t xml:space="preserve"> una relazione particolareggiata, corredata dei documenti necessari, indicando tutte le inadempienze, il cui impo</w:t>
      </w:r>
      <w:r w:rsidR="009A1E0B" w:rsidRPr="00607330">
        <w:rPr>
          <w:rFonts w:ascii="Times New Roman" w:hAnsi="Times New Roman" w:cs="Times New Roman"/>
          <w:color w:val="000000"/>
          <w:kern w:val="0"/>
        </w:rPr>
        <w:t>rto può essere riconosciuto al c</w:t>
      </w:r>
      <w:r w:rsidRPr="00607330">
        <w:rPr>
          <w:rFonts w:ascii="Times New Roman" w:hAnsi="Times New Roman" w:cs="Times New Roman"/>
          <w:color w:val="000000"/>
          <w:kern w:val="0"/>
        </w:rPr>
        <w:t>oncessionario;</w:t>
      </w:r>
    </w:p>
    <w:p w14:paraId="2E588C62" w14:textId="6BBD086D" w:rsidR="00B146DA" w:rsidRPr="00607330" w:rsidRDefault="00B146DA" w:rsidP="00B146DA">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formula la co</w:t>
      </w:r>
      <w:r w:rsidR="009A1E0B" w:rsidRPr="00607330">
        <w:rPr>
          <w:rFonts w:ascii="Times New Roman" w:hAnsi="Times New Roman" w:cs="Times New Roman"/>
          <w:color w:val="000000"/>
          <w:kern w:val="0"/>
        </w:rPr>
        <w:t>ntestazione degli addebiti al c</w:t>
      </w:r>
      <w:r w:rsidRPr="00607330">
        <w:rPr>
          <w:rFonts w:ascii="Times New Roman" w:hAnsi="Times New Roman" w:cs="Times New Roman"/>
          <w:color w:val="000000"/>
          <w:kern w:val="0"/>
        </w:rPr>
        <w:t>oncessionario, assegnando a quest’ultimo un termine massimo di 15 giorni per la presentazione delle sue controdeduzioni al RUP;</w:t>
      </w:r>
    </w:p>
    <w:p w14:paraId="558E8C9E" w14:textId="77777777" w:rsidR="009A1E0B" w:rsidRPr="00607330" w:rsidRDefault="00B146DA" w:rsidP="00B146DA">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Acquisite e valutate negativamente le predette controdeduzioni, ovvero</w:t>
      </w:r>
      <w:r w:rsidR="009A1E0B" w:rsidRPr="00607330">
        <w:rPr>
          <w:rFonts w:ascii="Times New Roman" w:hAnsi="Times New Roman" w:cs="Times New Roman"/>
          <w:color w:val="000000"/>
          <w:kern w:val="0"/>
        </w:rPr>
        <w:t xml:space="preserve"> scaduto il termine senza che il c</w:t>
      </w:r>
      <w:r w:rsidRPr="00607330">
        <w:rPr>
          <w:rFonts w:ascii="Times New Roman" w:hAnsi="Times New Roman" w:cs="Times New Roman"/>
          <w:color w:val="000000"/>
          <w:kern w:val="0"/>
        </w:rPr>
        <w:t xml:space="preserve">oncessionario abbia risposto, la </w:t>
      </w:r>
      <w:r w:rsidR="009A1E0B" w:rsidRPr="00607330">
        <w:rPr>
          <w:rFonts w:ascii="Times New Roman" w:hAnsi="Times New Roman" w:cs="Times New Roman"/>
          <w:color w:val="000000"/>
          <w:kern w:val="0"/>
        </w:rPr>
        <w:t>committente,</w:t>
      </w:r>
      <w:r w:rsidRPr="00607330">
        <w:rPr>
          <w:rFonts w:ascii="Times New Roman" w:hAnsi="Times New Roman" w:cs="Times New Roman"/>
          <w:color w:val="000000"/>
          <w:kern w:val="0"/>
        </w:rPr>
        <w:t xml:space="preserve"> su proposta del RUP</w:t>
      </w:r>
      <w:r w:rsidR="009A1E0B" w:rsidRPr="00607330">
        <w:rPr>
          <w:rFonts w:ascii="Times New Roman" w:hAnsi="Times New Roman" w:cs="Times New Roman"/>
          <w:color w:val="000000"/>
          <w:kern w:val="0"/>
        </w:rPr>
        <w:t xml:space="preserve"> dell’esecuzione,</w:t>
      </w:r>
      <w:r w:rsidRPr="00607330">
        <w:rPr>
          <w:rFonts w:ascii="Times New Roman" w:hAnsi="Times New Roman" w:cs="Times New Roman"/>
          <w:color w:val="000000"/>
          <w:kern w:val="0"/>
        </w:rPr>
        <w:t xml:space="preserve"> dichiara risolto il contratto, ai sensi dell'art. 122 </w:t>
      </w:r>
      <w:r w:rsidR="009A1E0B" w:rsidRPr="00607330">
        <w:rPr>
          <w:rFonts w:ascii="Times New Roman" w:hAnsi="Times New Roman" w:cs="Times New Roman"/>
          <w:color w:val="000000"/>
          <w:kern w:val="0"/>
        </w:rPr>
        <w:t>comma</w:t>
      </w:r>
      <w:r w:rsidRPr="00607330">
        <w:rPr>
          <w:rFonts w:ascii="Times New Roman" w:hAnsi="Times New Roman" w:cs="Times New Roman"/>
          <w:color w:val="000000"/>
          <w:kern w:val="0"/>
        </w:rPr>
        <w:t xml:space="preserve"> 3 del codice. </w:t>
      </w:r>
    </w:p>
    <w:p w14:paraId="2F979569" w14:textId="77777777" w:rsidR="000272E2" w:rsidRPr="00607330" w:rsidRDefault="00B146DA" w:rsidP="00B146DA">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Comu</w:t>
      </w:r>
      <w:r w:rsidR="009A1E0B" w:rsidRPr="00607330">
        <w:rPr>
          <w:rFonts w:ascii="Times New Roman" w:hAnsi="Times New Roman" w:cs="Times New Roman"/>
          <w:color w:val="000000"/>
          <w:kern w:val="0"/>
        </w:rPr>
        <w:t>nicata al c</w:t>
      </w:r>
      <w:r w:rsidRPr="00607330">
        <w:rPr>
          <w:rFonts w:ascii="Times New Roman" w:hAnsi="Times New Roman" w:cs="Times New Roman"/>
          <w:color w:val="000000"/>
          <w:kern w:val="0"/>
        </w:rPr>
        <w:t>oncessionario la determinazione di risoluzione del contratto, il RUP</w:t>
      </w:r>
      <w:r w:rsidR="009A1E0B" w:rsidRPr="00607330">
        <w:rPr>
          <w:rFonts w:ascii="Times New Roman" w:hAnsi="Times New Roman" w:cs="Times New Roman"/>
          <w:color w:val="000000"/>
          <w:kern w:val="0"/>
        </w:rPr>
        <w:t xml:space="preserve"> dell’esecuzione</w:t>
      </w:r>
      <w:r w:rsidRPr="00607330">
        <w:rPr>
          <w:rFonts w:ascii="Times New Roman" w:hAnsi="Times New Roman" w:cs="Times New Roman"/>
          <w:color w:val="000000"/>
          <w:kern w:val="0"/>
        </w:rPr>
        <w:t xml:space="preserve">, con preavviso di 20 giorni, richiede al direttore </w:t>
      </w:r>
      <w:r w:rsidR="009A1E0B" w:rsidRPr="00607330">
        <w:rPr>
          <w:rFonts w:ascii="Times New Roman" w:hAnsi="Times New Roman" w:cs="Times New Roman"/>
          <w:color w:val="000000"/>
          <w:kern w:val="0"/>
        </w:rPr>
        <w:t>dell’esecuzione</w:t>
      </w:r>
      <w:r w:rsidRPr="00607330">
        <w:rPr>
          <w:rFonts w:ascii="Times New Roman" w:hAnsi="Times New Roman" w:cs="Times New Roman"/>
          <w:color w:val="000000"/>
          <w:kern w:val="0"/>
        </w:rPr>
        <w:t xml:space="preserve"> la redazione dello stato di consistenza dei </w:t>
      </w:r>
      <w:r w:rsidR="009A1E0B" w:rsidRPr="00607330">
        <w:rPr>
          <w:rFonts w:ascii="Times New Roman" w:hAnsi="Times New Roman" w:cs="Times New Roman"/>
          <w:color w:val="000000"/>
          <w:kern w:val="0"/>
        </w:rPr>
        <w:t>servizi</w:t>
      </w:r>
      <w:r w:rsidRPr="00607330">
        <w:rPr>
          <w:rFonts w:ascii="Times New Roman" w:hAnsi="Times New Roman" w:cs="Times New Roman"/>
          <w:color w:val="000000"/>
          <w:kern w:val="0"/>
        </w:rPr>
        <w:t xml:space="preserve"> già eseguiti. </w:t>
      </w:r>
    </w:p>
    <w:p w14:paraId="031D9663" w14:textId="77777777" w:rsidR="000272E2" w:rsidRPr="00607330" w:rsidRDefault="00B146DA" w:rsidP="00B146DA">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L'organo di collaudo, acquisito lo stato di consistenza, redige un verbale di accertamento tecnico e contabile in cui accerta la corrispondenza tra quanto eseguito fino alla risoluzione del contratto e ammesso in contabilità e quanto </w:t>
      </w:r>
      <w:r w:rsidR="000272E2" w:rsidRPr="00607330">
        <w:rPr>
          <w:rFonts w:ascii="Times New Roman" w:hAnsi="Times New Roman" w:cs="Times New Roman"/>
          <w:color w:val="000000"/>
          <w:kern w:val="0"/>
        </w:rPr>
        <w:t xml:space="preserve">previsto nel capitolato tecnico. </w:t>
      </w:r>
    </w:p>
    <w:p w14:paraId="0EE2F24D" w14:textId="77777777" w:rsidR="000272E2" w:rsidRPr="00607330" w:rsidRDefault="000272E2" w:rsidP="00B146DA">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Sciolto il contratto, il c</w:t>
      </w:r>
      <w:r w:rsidR="00B146DA" w:rsidRPr="00607330">
        <w:rPr>
          <w:rFonts w:ascii="Times New Roman" w:hAnsi="Times New Roman" w:cs="Times New Roman"/>
          <w:color w:val="000000"/>
          <w:kern w:val="0"/>
        </w:rPr>
        <w:t xml:space="preserve">oncessionario provvede </w:t>
      </w:r>
      <w:r w:rsidRPr="00607330">
        <w:rPr>
          <w:rFonts w:ascii="Times New Roman" w:hAnsi="Times New Roman" w:cs="Times New Roman"/>
          <w:color w:val="000000"/>
          <w:kern w:val="0"/>
        </w:rPr>
        <w:t>allo sgombero delle aree d</w:t>
      </w:r>
      <w:r w:rsidR="00B146DA" w:rsidRPr="00607330">
        <w:rPr>
          <w:rFonts w:ascii="Times New Roman" w:hAnsi="Times New Roman" w:cs="Times New Roman"/>
          <w:color w:val="000000"/>
          <w:kern w:val="0"/>
        </w:rPr>
        <w:t>e</w:t>
      </w:r>
      <w:r w:rsidRPr="00607330">
        <w:rPr>
          <w:rFonts w:ascii="Times New Roman" w:hAnsi="Times New Roman" w:cs="Times New Roman"/>
          <w:color w:val="000000"/>
          <w:kern w:val="0"/>
        </w:rPr>
        <w:t>lle</w:t>
      </w:r>
      <w:r w:rsidR="00B146DA" w:rsidRPr="00607330">
        <w:rPr>
          <w:rFonts w:ascii="Times New Roman" w:hAnsi="Times New Roman" w:cs="Times New Roman"/>
          <w:color w:val="000000"/>
          <w:kern w:val="0"/>
        </w:rPr>
        <w:t xml:space="preserve"> relative pertinenze nel termine assegnato dalla </w:t>
      </w:r>
      <w:r w:rsidRPr="00607330">
        <w:rPr>
          <w:rFonts w:ascii="Times New Roman" w:hAnsi="Times New Roman" w:cs="Times New Roman"/>
          <w:color w:val="000000"/>
          <w:kern w:val="0"/>
        </w:rPr>
        <w:t>committente</w:t>
      </w:r>
      <w:r w:rsidR="00B146DA" w:rsidRPr="00607330">
        <w:rPr>
          <w:rFonts w:ascii="Times New Roman" w:hAnsi="Times New Roman" w:cs="Times New Roman"/>
          <w:color w:val="000000"/>
          <w:kern w:val="0"/>
        </w:rPr>
        <w:t xml:space="preserve">; in caso di mancato rispetto del termine, la </w:t>
      </w:r>
      <w:r w:rsidRPr="00607330">
        <w:rPr>
          <w:rFonts w:ascii="Times New Roman" w:hAnsi="Times New Roman" w:cs="Times New Roman"/>
          <w:color w:val="000000"/>
          <w:kern w:val="0"/>
        </w:rPr>
        <w:t>committente</w:t>
      </w:r>
      <w:r w:rsidR="00B146DA" w:rsidRPr="00607330">
        <w:rPr>
          <w:rFonts w:ascii="Times New Roman" w:hAnsi="Times New Roman" w:cs="Times New Roman"/>
          <w:color w:val="000000"/>
          <w:kern w:val="0"/>
        </w:rPr>
        <w:t xml:space="preserve"> provvede d'ufficio a</w:t>
      </w:r>
      <w:r w:rsidRPr="00607330">
        <w:rPr>
          <w:rFonts w:ascii="Times New Roman" w:hAnsi="Times New Roman" w:cs="Times New Roman"/>
          <w:color w:val="000000"/>
          <w:kern w:val="0"/>
        </w:rPr>
        <w:t>ddebitando al c</w:t>
      </w:r>
      <w:r w:rsidR="00B146DA" w:rsidRPr="00607330">
        <w:rPr>
          <w:rFonts w:ascii="Times New Roman" w:hAnsi="Times New Roman" w:cs="Times New Roman"/>
          <w:color w:val="000000"/>
          <w:kern w:val="0"/>
        </w:rPr>
        <w:t xml:space="preserve">oncessionario i relativi oneri e spese. </w:t>
      </w:r>
    </w:p>
    <w:p w14:paraId="1B8D904B" w14:textId="28157B9A" w:rsidR="00436D18" w:rsidRPr="00607330" w:rsidRDefault="00B146DA" w:rsidP="00436D18">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Nel caso di provvedimenti giurisdizionali ca</w:t>
      </w:r>
      <w:r w:rsidR="000272E2" w:rsidRPr="00607330">
        <w:rPr>
          <w:rFonts w:ascii="Times New Roman" w:hAnsi="Times New Roman" w:cs="Times New Roman"/>
          <w:color w:val="000000"/>
          <w:kern w:val="0"/>
        </w:rPr>
        <w:t xml:space="preserve">utelari, possessori o d'urgenza, </w:t>
      </w:r>
      <w:r w:rsidRPr="00607330">
        <w:rPr>
          <w:rFonts w:ascii="Times New Roman" w:hAnsi="Times New Roman" w:cs="Times New Roman"/>
          <w:color w:val="000000"/>
          <w:kern w:val="0"/>
        </w:rPr>
        <w:t xml:space="preserve">la </w:t>
      </w:r>
      <w:r w:rsidR="000272E2" w:rsidRPr="00607330">
        <w:rPr>
          <w:rFonts w:ascii="Times New Roman" w:hAnsi="Times New Roman" w:cs="Times New Roman"/>
          <w:color w:val="000000"/>
          <w:kern w:val="0"/>
        </w:rPr>
        <w:t>committente può</w:t>
      </w:r>
      <w:r w:rsidRPr="00607330">
        <w:rPr>
          <w:rFonts w:ascii="Times New Roman" w:hAnsi="Times New Roman" w:cs="Times New Roman"/>
          <w:color w:val="000000"/>
          <w:kern w:val="0"/>
        </w:rPr>
        <w:t xml:space="preserve"> depositare cauzione i</w:t>
      </w:r>
      <w:r w:rsidR="000272E2" w:rsidRPr="00607330">
        <w:rPr>
          <w:rFonts w:ascii="Times New Roman" w:hAnsi="Times New Roman" w:cs="Times New Roman"/>
          <w:color w:val="000000"/>
          <w:kern w:val="0"/>
        </w:rPr>
        <w:t>n conto vincolato a favore del c</w:t>
      </w:r>
      <w:r w:rsidRPr="00607330">
        <w:rPr>
          <w:rFonts w:ascii="Times New Roman" w:hAnsi="Times New Roman" w:cs="Times New Roman"/>
          <w:color w:val="000000"/>
          <w:kern w:val="0"/>
        </w:rPr>
        <w:t>oncessionario o prestare fideiussione bancaria o polizza assicurativa pari all’1% del valore del contratto, con le modalità di cui all'art. 106 del codic</w:t>
      </w:r>
      <w:r w:rsidR="000272E2" w:rsidRPr="00607330">
        <w:rPr>
          <w:rFonts w:ascii="Times New Roman" w:hAnsi="Times New Roman" w:cs="Times New Roman"/>
          <w:color w:val="000000"/>
          <w:kern w:val="0"/>
        </w:rPr>
        <w:t>e, resta fermo il diritto del c</w:t>
      </w:r>
      <w:r w:rsidRPr="00607330">
        <w:rPr>
          <w:rFonts w:ascii="Times New Roman" w:hAnsi="Times New Roman" w:cs="Times New Roman"/>
          <w:color w:val="000000"/>
          <w:kern w:val="0"/>
        </w:rPr>
        <w:t>oncessionario di agire per il risarcimento dei danni.</w:t>
      </w:r>
    </w:p>
    <w:p w14:paraId="05A75DBE" w14:textId="13E1DC85" w:rsidR="007A3C18" w:rsidRPr="00607330" w:rsidRDefault="00D72E40" w:rsidP="00436D18">
      <w:pPr>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b/>
        </w:rPr>
        <w:t>ART. 10</w:t>
      </w:r>
      <w:r w:rsidR="001945CE" w:rsidRPr="00607330">
        <w:rPr>
          <w:rFonts w:ascii="Times New Roman" w:hAnsi="Times New Roman" w:cs="Times New Roman"/>
          <w:b/>
        </w:rPr>
        <w:t xml:space="preserve"> </w:t>
      </w:r>
      <w:r w:rsidR="007A3C18" w:rsidRPr="00607330">
        <w:rPr>
          <w:rFonts w:ascii="Times New Roman" w:hAnsi="Times New Roman" w:cs="Times New Roman"/>
          <w:b/>
        </w:rPr>
        <w:t>- OBBLIGHI DERIVANTI DAL RAPPORTO DI LAVORO – INADEMPIENZE CONTRIBUTIVE E RETRIBUTIVE</w:t>
      </w:r>
    </w:p>
    <w:p w14:paraId="3242330C" w14:textId="77777777" w:rsidR="007A3C18" w:rsidRPr="00607330" w:rsidRDefault="007A3C18" w:rsidP="001945CE">
      <w:pPr>
        <w:pStyle w:val="Default"/>
        <w:spacing w:line="276" w:lineRule="auto"/>
        <w:jc w:val="both"/>
        <w:rPr>
          <w:b/>
          <w:sz w:val="22"/>
          <w:szCs w:val="22"/>
        </w:rPr>
      </w:pPr>
      <w:r w:rsidRPr="00607330">
        <w:rPr>
          <w:sz w:val="22"/>
          <w:szCs w:val="22"/>
        </w:rPr>
        <w:t xml:space="preserve">Il concessionario si obbliga ad osservare scrupolosamente tutti gli obblighi derivanti da leggi vigenti in materia di obblighi assicurativi, assistenza e previdenza, nonché di rapporti di lavoro in genere, ed a provvedere a tutti gli obblighi derivanti dal contratto collettivo di lavoro di categoria applicabile. </w:t>
      </w:r>
    </w:p>
    <w:p w14:paraId="765F6AE8" w14:textId="06B2E49B" w:rsidR="007A3C18" w:rsidRPr="00607330" w:rsidRDefault="007A3C18" w:rsidP="001945CE">
      <w:pPr>
        <w:pStyle w:val="Default"/>
        <w:spacing w:line="276" w:lineRule="auto"/>
        <w:jc w:val="both"/>
        <w:rPr>
          <w:b/>
          <w:sz w:val="22"/>
          <w:szCs w:val="22"/>
        </w:rPr>
      </w:pPr>
      <w:r w:rsidRPr="00607330">
        <w:rPr>
          <w:sz w:val="22"/>
          <w:szCs w:val="22"/>
        </w:rPr>
        <w:t xml:space="preserve">Il concessionario si obbliga, altresì, fatto salvo il trattamento di miglior favore, a continuare ad applicare i citati contratti collettivi anche dopo la loro scadenza e fino alla loro sostituzione. Gli obblighi relativi ai contratti collettivi nazionali di lavoro suddetti vincolano il concessionario anche nel caso in cui questo non aderisca alle associazioni stipulanti o receda da esse, per tutto il periodo di validità del presente contratto. </w:t>
      </w:r>
    </w:p>
    <w:p w14:paraId="45953600" w14:textId="58FB9067" w:rsidR="007A3C18" w:rsidRPr="00607330" w:rsidRDefault="007A3C18" w:rsidP="001945CE">
      <w:pPr>
        <w:pStyle w:val="Default"/>
        <w:spacing w:line="276" w:lineRule="auto"/>
        <w:jc w:val="both"/>
        <w:rPr>
          <w:sz w:val="22"/>
          <w:szCs w:val="22"/>
        </w:rPr>
      </w:pPr>
      <w:r w:rsidRPr="00607330">
        <w:rPr>
          <w:sz w:val="22"/>
          <w:szCs w:val="22"/>
        </w:rPr>
        <w:t xml:space="preserve">Per le prestazioni richieste il concessionario si obbliga ad avvalersi di personale specializzato con contratto di lavoro subordinato ovvero di somministrazione di lavoro ovvero con rapporto di lavoro comunque riconducibile a una delle tipologie contrattuali ammesse dalla </w:t>
      </w:r>
      <w:r w:rsidR="002B356F" w:rsidRPr="00607330">
        <w:rPr>
          <w:sz w:val="22"/>
          <w:szCs w:val="22"/>
        </w:rPr>
        <w:t>Legge n. 183/2014 e successivi d</w:t>
      </w:r>
      <w:r w:rsidRPr="00607330">
        <w:rPr>
          <w:sz w:val="22"/>
          <w:szCs w:val="22"/>
        </w:rPr>
        <w:t xml:space="preserve">ecreti attuativi, nonché di lavoratori autonomi, nei limiti e alle condizioni previsti nel presente contratto e suoi allegati. </w:t>
      </w:r>
    </w:p>
    <w:p w14:paraId="08457140" w14:textId="330928E0" w:rsidR="007A3C18" w:rsidRPr="00607330" w:rsidRDefault="007A3C18" w:rsidP="001945CE">
      <w:pPr>
        <w:pStyle w:val="Default"/>
        <w:spacing w:line="276" w:lineRule="auto"/>
        <w:jc w:val="both"/>
        <w:rPr>
          <w:sz w:val="22"/>
          <w:szCs w:val="22"/>
        </w:rPr>
      </w:pPr>
      <w:r w:rsidRPr="00607330">
        <w:rPr>
          <w:sz w:val="22"/>
          <w:szCs w:val="22"/>
        </w:rPr>
        <w:t xml:space="preserve">È a carico del concessionario l’osservanza delle norme in materia di sicurezza, prevenzione degli infortuni e dell’igiene del lavoro, per quanto di spettanza. A tale fine, esso adotterà tutti i procedimenti e le cautele necessari per garantire la salute e l’incolumità degli operatori, delle persone addette ai lavori e dei terzi, dandone alla Committente, a semplice richiesta, opportuna documentazione a dimostrazione degli adempimenti effettuati in tema di sicurezza sui luoghi di lavoro e di salute dei lavoratori e manlevando e tenendo indenne la Committente da qualsivoglia onere e responsabilità. </w:t>
      </w:r>
    </w:p>
    <w:p w14:paraId="6B165028" w14:textId="60BC74F5" w:rsidR="007A3C18" w:rsidRPr="00607330" w:rsidRDefault="007A3C18" w:rsidP="001945CE">
      <w:pPr>
        <w:pStyle w:val="Default"/>
        <w:spacing w:line="276" w:lineRule="auto"/>
        <w:jc w:val="both"/>
        <w:rPr>
          <w:sz w:val="22"/>
          <w:szCs w:val="22"/>
        </w:rPr>
      </w:pPr>
      <w:r w:rsidRPr="00607330">
        <w:rPr>
          <w:sz w:val="22"/>
          <w:szCs w:val="22"/>
        </w:rPr>
        <w:t xml:space="preserve">Il concessionario si impegna a fornire, prima dell’inizio di qualsiasi attività, il nominativo del Responsabile preposto alla sovraintendenza dell’esecuzione dell’appalto (Responsabile del contratto) comunicandone il nominativo, </w:t>
      </w:r>
      <w:r w:rsidR="00704A76" w:rsidRPr="00607330">
        <w:rPr>
          <w:sz w:val="22"/>
          <w:szCs w:val="22"/>
        </w:rPr>
        <w:t>e le relative variazioni, alla c</w:t>
      </w:r>
      <w:r w:rsidRPr="00607330">
        <w:rPr>
          <w:sz w:val="22"/>
          <w:szCs w:val="22"/>
        </w:rPr>
        <w:t>ommittente. Il Responsabile del contra</w:t>
      </w:r>
      <w:r w:rsidR="00704A76" w:rsidRPr="00607330">
        <w:rPr>
          <w:sz w:val="22"/>
          <w:szCs w:val="22"/>
        </w:rPr>
        <w:t>tto sarà l’interlocutore della c</w:t>
      </w:r>
      <w:r w:rsidRPr="00607330">
        <w:rPr>
          <w:sz w:val="22"/>
          <w:szCs w:val="22"/>
        </w:rPr>
        <w:t>ommittente per qualsivoglia richiesta inerente al servizio e sarà, a sua volta, garante della corretta organizzazione del servizio nonché, in particolare, responsabile del controllo sulla assoluta e continua in</w:t>
      </w:r>
      <w:r w:rsidR="00704A76" w:rsidRPr="00607330">
        <w:rPr>
          <w:sz w:val="22"/>
          <w:szCs w:val="22"/>
        </w:rPr>
        <w:t>dipendenza del personale dalla c</w:t>
      </w:r>
      <w:r w:rsidRPr="00607330">
        <w:rPr>
          <w:sz w:val="22"/>
          <w:szCs w:val="22"/>
        </w:rPr>
        <w:t xml:space="preserve">ommittente. </w:t>
      </w:r>
    </w:p>
    <w:p w14:paraId="7D21F907" w14:textId="1DB47719" w:rsidR="007A3C18" w:rsidRPr="00607330" w:rsidRDefault="007A3C18" w:rsidP="001945CE">
      <w:pPr>
        <w:pStyle w:val="Default"/>
        <w:spacing w:line="276" w:lineRule="auto"/>
        <w:jc w:val="both"/>
        <w:rPr>
          <w:sz w:val="22"/>
          <w:szCs w:val="22"/>
        </w:rPr>
      </w:pPr>
      <w:r w:rsidRPr="00607330">
        <w:rPr>
          <w:sz w:val="22"/>
          <w:szCs w:val="22"/>
        </w:rPr>
        <w:t>In considerazione di quanto precede, il Responsabile del contratto, per quanto di propria competenza, si obbliga ad attivare all’interno dell’Impresa</w:t>
      </w:r>
      <w:r w:rsidR="00704A76" w:rsidRPr="00607330">
        <w:rPr>
          <w:sz w:val="22"/>
          <w:szCs w:val="22"/>
        </w:rPr>
        <w:t xml:space="preserve"> aggiudicataria,</w:t>
      </w:r>
      <w:r w:rsidRPr="00607330">
        <w:rPr>
          <w:sz w:val="22"/>
          <w:szCs w:val="22"/>
        </w:rPr>
        <w:t xml:space="preserve"> ovvero nell’ambito d</w:t>
      </w:r>
      <w:r w:rsidR="00704A76" w:rsidRPr="00607330">
        <w:rPr>
          <w:sz w:val="22"/>
          <w:szCs w:val="22"/>
        </w:rPr>
        <w:t>ei rapporti tra l’Impresa e la c</w:t>
      </w:r>
      <w:r w:rsidRPr="00607330">
        <w:rPr>
          <w:sz w:val="22"/>
          <w:szCs w:val="22"/>
        </w:rPr>
        <w:t>ommittente, in virtù del presente contratto, tutte le necessarie procedure organizzative, nonché gli opportuni flussi comunicativi, affinché sia pacifico per le risorse coinvolte, a vario titolo, nell’erogazione delle attività, che le stesse non debbano ritenersi in alcun modo i) assoggettate al potere organizzativo, direttivo</w:t>
      </w:r>
      <w:r w:rsidR="00704A76" w:rsidRPr="00607330">
        <w:rPr>
          <w:sz w:val="22"/>
          <w:szCs w:val="22"/>
        </w:rPr>
        <w:t xml:space="preserve"> e disciplinare da parte della c</w:t>
      </w:r>
      <w:r w:rsidRPr="00607330">
        <w:rPr>
          <w:sz w:val="22"/>
          <w:szCs w:val="22"/>
        </w:rPr>
        <w:t>ommittente ii) assoggettate ad attività di vigilanza e controllo sull’esecuzione dell’atti</w:t>
      </w:r>
      <w:r w:rsidR="00704A76" w:rsidRPr="00607330">
        <w:rPr>
          <w:sz w:val="22"/>
          <w:szCs w:val="22"/>
        </w:rPr>
        <w:t>vità lavorativa da parte della c</w:t>
      </w:r>
      <w:r w:rsidRPr="00607330">
        <w:rPr>
          <w:sz w:val="22"/>
          <w:szCs w:val="22"/>
        </w:rPr>
        <w:t>ommittente iii) inse</w:t>
      </w:r>
      <w:r w:rsidR="00704A76" w:rsidRPr="00607330">
        <w:rPr>
          <w:sz w:val="22"/>
          <w:szCs w:val="22"/>
        </w:rPr>
        <w:t>rite nell’organizzazione della c</w:t>
      </w:r>
      <w:r w:rsidRPr="00607330">
        <w:rPr>
          <w:sz w:val="22"/>
          <w:szCs w:val="22"/>
        </w:rPr>
        <w:t xml:space="preserve">ommittente. </w:t>
      </w:r>
    </w:p>
    <w:p w14:paraId="1B5B7DA0" w14:textId="48841B0E" w:rsidR="007A3C18" w:rsidRPr="00607330" w:rsidRDefault="00704A76" w:rsidP="001945CE">
      <w:pPr>
        <w:pStyle w:val="Default"/>
        <w:spacing w:line="276" w:lineRule="auto"/>
        <w:jc w:val="both"/>
        <w:rPr>
          <w:sz w:val="22"/>
          <w:szCs w:val="22"/>
        </w:rPr>
      </w:pPr>
      <w:r w:rsidRPr="00607330">
        <w:rPr>
          <w:sz w:val="22"/>
          <w:szCs w:val="22"/>
        </w:rPr>
        <w:t>La c</w:t>
      </w:r>
      <w:r w:rsidR="007A3C18" w:rsidRPr="00607330">
        <w:rPr>
          <w:sz w:val="22"/>
          <w:szCs w:val="22"/>
        </w:rPr>
        <w:t xml:space="preserve">ommittente si riserva di verificare la corretta applicazione di quanto sopra da parte del Responsabile del contratto, nonché di applicare le relative penali in caso di mancato adempimento, fatto salvo il risarcimento del maggior danno. </w:t>
      </w:r>
    </w:p>
    <w:p w14:paraId="1FEF352C" w14:textId="086C9850" w:rsidR="007A3C18" w:rsidRPr="00607330" w:rsidRDefault="00704A76" w:rsidP="001945CE">
      <w:pPr>
        <w:pStyle w:val="Default"/>
        <w:spacing w:line="276" w:lineRule="auto"/>
        <w:jc w:val="both"/>
        <w:rPr>
          <w:sz w:val="22"/>
          <w:szCs w:val="22"/>
        </w:rPr>
      </w:pPr>
      <w:r w:rsidRPr="00607330">
        <w:rPr>
          <w:sz w:val="22"/>
          <w:szCs w:val="22"/>
        </w:rPr>
        <w:t>Nel caso in cui la c</w:t>
      </w:r>
      <w:r w:rsidR="007A3C18" w:rsidRPr="00607330">
        <w:rPr>
          <w:sz w:val="22"/>
          <w:szCs w:val="22"/>
        </w:rPr>
        <w:t>ommittente riscontri che il documento unico di regolarità contributiva (DURC) segnala un’inadempienza contributiva relativa a uno o più soggetti impiegati nell’esecuzione del Contratto (compreso il subappaltatore ed il cottimista</w:t>
      </w:r>
      <w:r w:rsidRPr="00607330">
        <w:rPr>
          <w:sz w:val="22"/>
          <w:szCs w:val="22"/>
        </w:rPr>
        <w:t>), la c</w:t>
      </w:r>
      <w:r w:rsidR="007A3C18" w:rsidRPr="00607330">
        <w:rPr>
          <w:sz w:val="22"/>
          <w:szCs w:val="22"/>
        </w:rPr>
        <w:t xml:space="preserve">ommittente provvederà a trattenere l’importo corrispondente all’inadempienza. Il </w:t>
      </w:r>
      <w:r w:rsidR="005C0E92" w:rsidRPr="00607330">
        <w:rPr>
          <w:sz w:val="22"/>
          <w:szCs w:val="22"/>
        </w:rPr>
        <w:t xml:space="preserve">pagamento </w:t>
      </w:r>
      <w:r w:rsidR="007A3C18" w:rsidRPr="00607330">
        <w:rPr>
          <w:sz w:val="22"/>
          <w:szCs w:val="22"/>
        </w:rPr>
        <w:t>di quanto dovuto per le inadempienze accertate mediant</w:t>
      </w:r>
      <w:r w:rsidRPr="00607330">
        <w:rPr>
          <w:sz w:val="22"/>
          <w:szCs w:val="22"/>
        </w:rPr>
        <w:t>e il DURC verrà disposto dalla c</w:t>
      </w:r>
      <w:r w:rsidR="007A3C18" w:rsidRPr="00607330">
        <w:rPr>
          <w:sz w:val="22"/>
          <w:szCs w:val="22"/>
        </w:rPr>
        <w:t xml:space="preserve">ommittente direttamente agli enti previdenziali e assicurativi, compresa, in caso di lavori la Cassa edile. </w:t>
      </w:r>
    </w:p>
    <w:p w14:paraId="36D7AEDA" w14:textId="750BE4BB" w:rsidR="007A3C18" w:rsidRPr="00607330" w:rsidRDefault="007A3C18" w:rsidP="001945CE">
      <w:pPr>
        <w:pStyle w:val="Default"/>
        <w:spacing w:line="276" w:lineRule="auto"/>
        <w:jc w:val="both"/>
        <w:rPr>
          <w:sz w:val="22"/>
          <w:szCs w:val="22"/>
        </w:rPr>
      </w:pPr>
      <w:r w:rsidRPr="00607330">
        <w:rPr>
          <w:sz w:val="22"/>
          <w:szCs w:val="22"/>
        </w:rPr>
        <w:t>Nel caso di ritardo nel pagamento delle retribuzioni dovute al personale dipendente dell’esecutore, e se del caso, del subappaltatore e dei soggetti titolari di subappalti e cottimi</w:t>
      </w:r>
      <w:r w:rsidR="00704A76" w:rsidRPr="00607330">
        <w:rPr>
          <w:sz w:val="22"/>
          <w:szCs w:val="22"/>
        </w:rPr>
        <w:t xml:space="preserve"> impiegato nell’esecuzione del contratto, la c</w:t>
      </w:r>
      <w:r w:rsidRPr="00607330">
        <w:rPr>
          <w:sz w:val="22"/>
          <w:szCs w:val="22"/>
        </w:rPr>
        <w:t xml:space="preserve">ommittente inviterà per iscritto il soggetto inadempiente, ed in ogni caso l’esecutore, a provvedervi entro i successivi quindici giorni. </w:t>
      </w:r>
    </w:p>
    <w:p w14:paraId="243099DC" w14:textId="4244CE23" w:rsidR="00A51A3D" w:rsidRPr="00607330" w:rsidRDefault="007A3C18" w:rsidP="00D72E40">
      <w:pPr>
        <w:pStyle w:val="Default"/>
        <w:spacing w:line="276" w:lineRule="auto"/>
        <w:jc w:val="both"/>
        <w:rPr>
          <w:sz w:val="22"/>
          <w:szCs w:val="22"/>
        </w:rPr>
      </w:pPr>
      <w:r w:rsidRPr="00607330">
        <w:rPr>
          <w:sz w:val="22"/>
          <w:szCs w:val="22"/>
        </w:rPr>
        <w:t xml:space="preserve">In assenza di risposta allo scadere del termine di cui </w:t>
      </w:r>
      <w:r w:rsidR="00704A76" w:rsidRPr="00607330">
        <w:rPr>
          <w:sz w:val="22"/>
          <w:szCs w:val="22"/>
        </w:rPr>
        <w:t>sopra</w:t>
      </w:r>
      <w:r w:rsidRPr="00607330">
        <w:rPr>
          <w:sz w:val="22"/>
          <w:szCs w:val="22"/>
        </w:rPr>
        <w:t xml:space="preserve"> oppure ove non sia stata contestata formalmente e motivatamente la fondatezza della richiesta entro </w:t>
      </w:r>
      <w:r w:rsidR="00704A76" w:rsidRPr="00607330">
        <w:rPr>
          <w:sz w:val="22"/>
          <w:szCs w:val="22"/>
        </w:rPr>
        <w:t>il termine sopra assegnato, la c</w:t>
      </w:r>
      <w:r w:rsidRPr="00607330">
        <w:rPr>
          <w:sz w:val="22"/>
          <w:szCs w:val="22"/>
        </w:rPr>
        <w:t xml:space="preserve">ommittente pagherà, anche in corso d’opera, direttamente ai lavoratori le retribuzioni arretrate, detraendo il relativo importo dalle somme dovute al </w:t>
      </w:r>
      <w:r w:rsidR="00704A76" w:rsidRPr="00607330">
        <w:rPr>
          <w:sz w:val="22"/>
          <w:szCs w:val="22"/>
        </w:rPr>
        <w:t>concessionario</w:t>
      </w:r>
      <w:r w:rsidRPr="00607330">
        <w:rPr>
          <w:sz w:val="22"/>
          <w:szCs w:val="22"/>
        </w:rPr>
        <w:t>, oppure, ove applicabile e qualora sia previsto il paga</w:t>
      </w:r>
      <w:r w:rsidR="00704A76" w:rsidRPr="00607330">
        <w:rPr>
          <w:sz w:val="22"/>
          <w:szCs w:val="22"/>
        </w:rPr>
        <w:t xml:space="preserve">mento diretto al subappaltatore, </w:t>
      </w:r>
      <w:r w:rsidRPr="00607330">
        <w:rPr>
          <w:sz w:val="22"/>
          <w:szCs w:val="22"/>
        </w:rPr>
        <w:t>dalle somme dovute al s</w:t>
      </w:r>
      <w:r w:rsidR="00704A76" w:rsidRPr="00607330">
        <w:rPr>
          <w:sz w:val="22"/>
          <w:szCs w:val="22"/>
        </w:rPr>
        <w:t>ubappaltatore inadempiente. La c</w:t>
      </w:r>
      <w:r w:rsidRPr="00607330">
        <w:rPr>
          <w:sz w:val="22"/>
          <w:szCs w:val="22"/>
        </w:rPr>
        <w:t xml:space="preserve">ommittente predisporrà delle quietanze che verranno sottoscritte direttamente dagli interessati. Nel </w:t>
      </w:r>
      <w:r w:rsidR="00704A76" w:rsidRPr="00607330">
        <w:rPr>
          <w:sz w:val="22"/>
          <w:szCs w:val="22"/>
        </w:rPr>
        <w:t>caso in cui la richiesta della c</w:t>
      </w:r>
      <w:r w:rsidRPr="00607330">
        <w:rPr>
          <w:sz w:val="22"/>
          <w:szCs w:val="22"/>
        </w:rPr>
        <w:t xml:space="preserve">ommittente sia stata formalmente contestata dal </w:t>
      </w:r>
      <w:r w:rsidR="00704A76" w:rsidRPr="00607330">
        <w:rPr>
          <w:sz w:val="22"/>
          <w:szCs w:val="22"/>
        </w:rPr>
        <w:t>concessionario, la c</w:t>
      </w:r>
      <w:r w:rsidRPr="00607330">
        <w:rPr>
          <w:sz w:val="22"/>
          <w:szCs w:val="22"/>
        </w:rPr>
        <w:t>ommittente stessa provvederà all'inoltro delle richieste e delle contestazioni alla Direzione provinciale del lavoro per i necessari accertamenti</w:t>
      </w:r>
      <w:r w:rsidR="00704A76" w:rsidRPr="00607330">
        <w:rPr>
          <w:sz w:val="22"/>
          <w:szCs w:val="22"/>
        </w:rPr>
        <w:t>.</w:t>
      </w:r>
    </w:p>
    <w:p w14:paraId="03915C50" w14:textId="32694176" w:rsidR="00A51A3D" w:rsidRPr="00607330" w:rsidRDefault="00D72E40" w:rsidP="007F4E93">
      <w:pPr>
        <w:pStyle w:val="Default"/>
        <w:spacing w:line="276" w:lineRule="auto"/>
        <w:jc w:val="center"/>
        <w:rPr>
          <w:b/>
          <w:sz w:val="22"/>
          <w:szCs w:val="22"/>
        </w:rPr>
      </w:pPr>
      <w:r>
        <w:rPr>
          <w:b/>
          <w:sz w:val="22"/>
          <w:szCs w:val="22"/>
        </w:rPr>
        <w:t>ART. 11</w:t>
      </w:r>
      <w:r w:rsidR="00DE2EC4" w:rsidRPr="00607330">
        <w:rPr>
          <w:b/>
          <w:sz w:val="22"/>
          <w:szCs w:val="22"/>
        </w:rPr>
        <w:t xml:space="preserve"> </w:t>
      </w:r>
      <w:r w:rsidR="00A51A3D" w:rsidRPr="00607330">
        <w:rPr>
          <w:b/>
          <w:sz w:val="22"/>
          <w:szCs w:val="22"/>
        </w:rPr>
        <w:t>OBBLIGHI DEL CONCESSIONARIO RELATIVI ALLA TRACCIABILITÀ DEI FLUSSI FINANZIARI</w:t>
      </w:r>
    </w:p>
    <w:p w14:paraId="130DB174" w14:textId="0EC93054" w:rsidR="00070FC7" w:rsidRPr="00607330" w:rsidRDefault="00DE2EC4" w:rsidP="007F4E93">
      <w:pPr>
        <w:pStyle w:val="Default"/>
        <w:spacing w:line="276" w:lineRule="auto"/>
        <w:jc w:val="both"/>
        <w:rPr>
          <w:sz w:val="22"/>
          <w:szCs w:val="22"/>
        </w:rPr>
      </w:pPr>
      <w:r w:rsidRPr="00607330">
        <w:rPr>
          <w:sz w:val="22"/>
          <w:szCs w:val="22"/>
        </w:rPr>
        <w:t>Il c</w:t>
      </w:r>
      <w:r w:rsidR="00A51A3D" w:rsidRPr="00607330">
        <w:rPr>
          <w:sz w:val="22"/>
          <w:szCs w:val="22"/>
        </w:rPr>
        <w:t>oncessionario assume tutti gli obblighi di tracciabilità dei flussi finanziari di cui all'art. 3 della L. 136/2010, a pena di nullità del contratto. Tutti i movimenti finanziari relativi all’interve</w:t>
      </w:r>
      <w:r w:rsidRPr="00607330">
        <w:rPr>
          <w:sz w:val="22"/>
          <w:szCs w:val="22"/>
        </w:rPr>
        <w:t>nto per pagamenti a favore del c</w:t>
      </w:r>
      <w:r w:rsidR="007F4E93" w:rsidRPr="00607330">
        <w:rPr>
          <w:sz w:val="22"/>
          <w:szCs w:val="22"/>
        </w:rPr>
        <w:t>oncessionario</w:t>
      </w:r>
      <w:r w:rsidR="00A51A3D" w:rsidRPr="00607330">
        <w:rPr>
          <w:sz w:val="22"/>
          <w:szCs w:val="22"/>
        </w:rPr>
        <w:t xml:space="preserve"> o di tutti i soggetti che forniscono beni o prestano servizi in relazione all’intervento, avvengono mediante bonifico bancario o postale, ovvero altro mezzo che sia ammesso dall’ordinamento giuridico in quanto idoneo ai fini della tracciabilità. </w:t>
      </w:r>
    </w:p>
    <w:p w14:paraId="5FE4C4B1" w14:textId="77777777" w:rsidR="00A51A3D" w:rsidRPr="00607330" w:rsidRDefault="00A51A3D" w:rsidP="007F4E93">
      <w:pPr>
        <w:pStyle w:val="Default"/>
        <w:spacing w:line="276" w:lineRule="auto"/>
        <w:jc w:val="both"/>
        <w:rPr>
          <w:sz w:val="22"/>
          <w:szCs w:val="22"/>
        </w:rPr>
      </w:pPr>
      <w:r w:rsidRPr="00607330">
        <w:rPr>
          <w:sz w:val="22"/>
          <w:szCs w:val="22"/>
        </w:rPr>
        <w:t>Le prescrizioni suindicate sono riportate anche nei contratti sottoscritti con subappaltatori e/o subcontraenti a qualsiasi titolo interessati all’intervento.</w:t>
      </w:r>
    </w:p>
    <w:p w14:paraId="4CB94142" w14:textId="4436F075" w:rsidR="005D7CDB" w:rsidRPr="00607330" w:rsidRDefault="00DE2EC4" w:rsidP="007F4E93">
      <w:pPr>
        <w:pStyle w:val="Default"/>
        <w:spacing w:line="276" w:lineRule="auto"/>
        <w:jc w:val="both"/>
        <w:rPr>
          <w:sz w:val="22"/>
          <w:szCs w:val="22"/>
        </w:rPr>
      </w:pPr>
      <w:r w:rsidRPr="00607330">
        <w:rPr>
          <w:sz w:val="22"/>
          <w:szCs w:val="22"/>
        </w:rPr>
        <w:t>Il c</w:t>
      </w:r>
      <w:r w:rsidR="00A51A3D" w:rsidRPr="00607330">
        <w:rPr>
          <w:sz w:val="22"/>
          <w:szCs w:val="22"/>
        </w:rPr>
        <w:t xml:space="preserve">oncessionario si impegna, inoltre, a dare immediata comunicazione alla stazione appaltante ed alla prefettura-ufficio territoriale del Governo della provincia ove ha sede la stazione appaltante, della notizia dell'inadempimento </w:t>
      </w:r>
      <w:r w:rsidR="00070FC7" w:rsidRPr="00607330">
        <w:rPr>
          <w:sz w:val="22"/>
          <w:szCs w:val="22"/>
        </w:rPr>
        <w:t>della propria controparte (sub c</w:t>
      </w:r>
      <w:r w:rsidR="00A51A3D" w:rsidRPr="00607330">
        <w:rPr>
          <w:sz w:val="22"/>
          <w:szCs w:val="22"/>
        </w:rPr>
        <w:t>oncessionario/subcontraente) agli obblighi di tracciabilità finanziaria. Il mancato utilizzo del bonifico bancario o postale ovvero degli altri strumenti idonei a consentire la piena tracciabilità delle operazioni costituisce causa di risoluzione del contratto.</w:t>
      </w:r>
    </w:p>
    <w:p w14:paraId="23A946AC" w14:textId="36C31395" w:rsidR="007F4E93" w:rsidRPr="00607330" w:rsidRDefault="007F4E93" w:rsidP="007F4E93">
      <w:pPr>
        <w:pStyle w:val="Default"/>
        <w:spacing w:line="276" w:lineRule="auto"/>
        <w:jc w:val="both"/>
        <w:rPr>
          <w:sz w:val="22"/>
          <w:szCs w:val="22"/>
        </w:rPr>
      </w:pPr>
      <w:r w:rsidRPr="00607330">
        <w:rPr>
          <w:sz w:val="22"/>
          <w:szCs w:val="22"/>
        </w:rPr>
        <w:t xml:space="preserve">Il concessionario indica il seguente conto corrente dedicato/ i seguenti conti correnti: </w:t>
      </w:r>
    </w:p>
    <w:p w14:paraId="4DD6F6AE" w14:textId="38A31C3E" w:rsidR="007F4E93" w:rsidRPr="00607330" w:rsidRDefault="007F4E93" w:rsidP="00D72E40">
      <w:pPr>
        <w:pStyle w:val="Default"/>
        <w:spacing w:line="276" w:lineRule="auto"/>
        <w:jc w:val="both"/>
        <w:rPr>
          <w:sz w:val="22"/>
          <w:szCs w:val="22"/>
        </w:rPr>
      </w:pPr>
      <w:r w:rsidRPr="00607330">
        <w:rPr>
          <w:sz w:val="22"/>
          <w:szCs w:val="22"/>
        </w:rPr>
        <w:t>Banca _____________________; coordinate bancarie_____________________; dati identificativi delle persone fisiche delegate ad operare sul/i predetto/i conto/i sono: _______________________________________________.</w:t>
      </w:r>
    </w:p>
    <w:p w14:paraId="420137D2" w14:textId="6EA39A81" w:rsidR="005D7CDB" w:rsidRPr="00607330" w:rsidRDefault="00D72E40" w:rsidP="00D72E40">
      <w:pPr>
        <w:autoSpaceDE w:val="0"/>
        <w:autoSpaceDN w:val="0"/>
        <w:adjustRightInd w:val="0"/>
        <w:spacing w:after="0" w:line="276" w:lineRule="auto"/>
        <w:jc w:val="both"/>
        <w:rPr>
          <w:rFonts w:ascii="Times New Roman" w:hAnsi="Times New Roman" w:cs="Times New Roman"/>
          <w:color w:val="000000"/>
          <w:kern w:val="0"/>
        </w:rPr>
      </w:pPr>
      <w:r>
        <w:rPr>
          <w:rFonts w:ascii="Times New Roman" w:hAnsi="Times New Roman" w:cs="Times New Roman"/>
          <w:b/>
          <w:bCs/>
          <w:color w:val="000000"/>
          <w:kern w:val="0"/>
        </w:rPr>
        <w:t>ART. 12</w:t>
      </w:r>
      <w:r w:rsidR="00E97E63" w:rsidRPr="00607330">
        <w:rPr>
          <w:rFonts w:ascii="Times New Roman" w:hAnsi="Times New Roman" w:cs="Times New Roman"/>
          <w:b/>
          <w:bCs/>
          <w:color w:val="000000"/>
          <w:kern w:val="0"/>
        </w:rPr>
        <w:t xml:space="preserve"> - ORGANIZZAZIONE, GESTIONE E CONTROLLO </w:t>
      </w:r>
      <w:r w:rsidR="00E97E63" w:rsidRPr="00607330">
        <w:rPr>
          <w:rFonts w:ascii="Times New Roman" w:hAnsi="Times New Roman" w:cs="Times New Roman"/>
          <w:b/>
          <w:bCs/>
          <w:i/>
          <w:color w:val="000000"/>
          <w:kern w:val="0"/>
        </w:rPr>
        <w:t>EX</w:t>
      </w:r>
      <w:r w:rsidR="00E97E63" w:rsidRPr="00607330">
        <w:rPr>
          <w:rFonts w:ascii="Times New Roman" w:hAnsi="Times New Roman" w:cs="Times New Roman"/>
          <w:b/>
          <w:bCs/>
          <w:color w:val="000000"/>
          <w:kern w:val="0"/>
        </w:rPr>
        <w:t xml:space="preserve"> D.LGS. N. 231/2001. CODICE ETICO. PIANO TRIENNALE PER LA PREVENZIONE DELLA CORRUZIONE E TRASPARENZA</w:t>
      </w:r>
    </w:p>
    <w:p w14:paraId="6E8A6BE9" w14:textId="5118DDC9" w:rsidR="00E97E63" w:rsidRPr="00607330" w:rsidRDefault="00E97E63" w:rsidP="007F4E93">
      <w:pPr>
        <w:autoSpaceDE w:val="0"/>
        <w:autoSpaceDN w:val="0"/>
        <w:adjustRightInd w:val="0"/>
        <w:spacing w:after="7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Il concessionario dichiara di essere a conoscenza del </w:t>
      </w:r>
      <w:proofErr w:type="gramStart"/>
      <w:r w:rsidRPr="00607330">
        <w:rPr>
          <w:rFonts w:ascii="Times New Roman" w:hAnsi="Times New Roman" w:cs="Times New Roman"/>
          <w:color w:val="000000"/>
          <w:kern w:val="0"/>
        </w:rPr>
        <w:t>D.Lgs</w:t>
      </w:r>
      <w:proofErr w:type="gramEnd"/>
      <w:r w:rsidRPr="00607330">
        <w:rPr>
          <w:rFonts w:ascii="Times New Roman" w:hAnsi="Times New Roman" w:cs="Times New Roman"/>
          <w:color w:val="000000"/>
          <w:kern w:val="0"/>
        </w:rPr>
        <w:t xml:space="preserve">. n. 231/2001 e della L. n. 190/2012. </w:t>
      </w:r>
    </w:p>
    <w:p w14:paraId="6E189F49" w14:textId="77777777" w:rsidR="005D7CDB" w:rsidRPr="00607330" w:rsidRDefault="005D7CDB" w:rsidP="007F4E93">
      <w:pPr>
        <w:autoSpaceDE w:val="0"/>
        <w:autoSpaceDN w:val="0"/>
        <w:adjustRightInd w:val="0"/>
        <w:spacing w:after="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Nel caso in cui la c</w:t>
      </w:r>
      <w:r w:rsidR="00E97E63" w:rsidRPr="00607330">
        <w:rPr>
          <w:rFonts w:ascii="Times New Roman" w:hAnsi="Times New Roman" w:cs="Times New Roman"/>
          <w:color w:val="000000"/>
          <w:kern w:val="0"/>
        </w:rPr>
        <w:t xml:space="preserve">ommittente abbia predisposto il Codice etico, il Piano triennale per la prevenzione della Corruzione e della trasparenza ai sensi della L. 190/2012 ed il Modello di organizzazione, gestione e controllo ai sensi del </w:t>
      </w:r>
      <w:proofErr w:type="gramStart"/>
      <w:r w:rsidR="00E97E63" w:rsidRPr="00607330">
        <w:rPr>
          <w:rFonts w:ascii="Times New Roman" w:hAnsi="Times New Roman" w:cs="Times New Roman"/>
          <w:color w:val="000000"/>
          <w:kern w:val="0"/>
        </w:rPr>
        <w:t>D.Lgs</w:t>
      </w:r>
      <w:proofErr w:type="gramEnd"/>
      <w:r w:rsidR="00E97E63" w:rsidRPr="00607330">
        <w:rPr>
          <w:rFonts w:ascii="Times New Roman" w:hAnsi="Times New Roman" w:cs="Times New Roman"/>
          <w:color w:val="000000"/>
          <w:kern w:val="0"/>
        </w:rPr>
        <w:t xml:space="preserve">. 231/2001, consultabili sul sito internet della stessa, </w:t>
      </w:r>
      <w:r w:rsidRPr="00607330">
        <w:rPr>
          <w:rFonts w:ascii="Times New Roman" w:hAnsi="Times New Roman" w:cs="Times New Roman"/>
          <w:color w:val="000000"/>
          <w:kern w:val="0"/>
        </w:rPr>
        <w:t>il concessionario</w:t>
      </w:r>
      <w:r w:rsidR="00E97E63" w:rsidRPr="00607330">
        <w:rPr>
          <w:rFonts w:ascii="Times New Roman" w:hAnsi="Times New Roman" w:cs="Times New Roman"/>
          <w:color w:val="000000"/>
          <w:kern w:val="0"/>
        </w:rPr>
        <w:t xml:space="preserve"> dichiara di averne preso visione e, per effetto della sottoscrizione del presente contratto, si impegna: </w:t>
      </w:r>
    </w:p>
    <w:p w14:paraId="751537DF" w14:textId="77777777" w:rsidR="005D7CDB" w:rsidRPr="00607330" w:rsidRDefault="00E97E63" w:rsidP="007F4E93">
      <w:pPr>
        <w:autoSpaceDE w:val="0"/>
        <w:autoSpaceDN w:val="0"/>
        <w:adjustRightInd w:val="0"/>
        <w:spacing w:after="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(i) ad operare nel rispetto dei principi </w:t>
      </w:r>
      <w:r w:rsidR="005D7CDB" w:rsidRPr="00607330">
        <w:rPr>
          <w:rFonts w:ascii="Times New Roman" w:hAnsi="Times New Roman" w:cs="Times New Roman"/>
          <w:color w:val="000000"/>
          <w:kern w:val="0"/>
        </w:rPr>
        <w:t xml:space="preserve">e delle previsioni di cui al </w:t>
      </w:r>
      <w:proofErr w:type="gramStart"/>
      <w:r w:rsidR="005D7CDB" w:rsidRPr="00607330">
        <w:rPr>
          <w:rFonts w:ascii="Times New Roman" w:hAnsi="Times New Roman" w:cs="Times New Roman"/>
          <w:color w:val="000000"/>
          <w:kern w:val="0"/>
        </w:rPr>
        <w:t>D.</w:t>
      </w:r>
      <w:r w:rsidRPr="00607330">
        <w:rPr>
          <w:rFonts w:ascii="Times New Roman" w:hAnsi="Times New Roman" w:cs="Times New Roman"/>
          <w:color w:val="000000"/>
          <w:kern w:val="0"/>
        </w:rPr>
        <w:t>Lgs</w:t>
      </w:r>
      <w:proofErr w:type="gramEnd"/>
      <w:r w:rsidRPr="00607330">
        <w:rPr>
          <w:rFonts w:ascii="Times New Roman" w:hAnsi="Times New Roman" w:cs="Times New Roman"/>
          <w:color w:val="000000"/>
          <w:kern w:val="0"/>
        </w:rPr>
        <w:t>. 231/2001;</w:t>
      </w:r>
    </w:p>
    <w:p w14:paraId="6643AB20" w14:textId="77777777" w:rsidR="005D7CDB" w:rsidRPr="00607330" w:rsidRDefault="00E97E63" w:rsidP="007F4E93">
      <w:pPr>
        <w:autoSpaceDE w:val="0"/>
        <w:autoSpaceDN w:val="0"/>
        <w:adjustRightInd w:val="0"/>
        <w:spacing w:after="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(ii) ove la Committente abbia adottato un Modello di organizzazione, gestione e controllo, ai sensi del </w:t>
      </w:r>
      <w:proofErr w:type="gramStart"/>
      <w:r w:rsidRPr="00607330">
        <w:rPr>
          <w:rFonts w:ascii="Times New Roman" w:hAnsi="Times New Roman" w:cs="Times New Roman"/>
          <w:color w:val="000000"/>
          <w:kern w:val="0"/>
        </w:rPr>
        <w:t>D.Lgs</w:t>
      </w:r>
      <w:proofErr w:type="gramEnd"/>
      <w:r w:rsidRPr="00607330">
        <w:rPr>
          <w:rFonts w:ascii="Times New Roman" w:hAnsi="Times New Roman" w:cs="Times New Roman"/>
          <w:color w:val="000000"/>
          <w:kern w:val="0"/>
        </w:rPr>
        <w:t xml:space="preserve">. 231/2001, ad uniformarsi alle previsioni in esso contenute; </w:t>
      </w:r>
    </w:p>
    <w:p w14:paraId="677C5756" w14:textId="77777777" w:rsidR="005D7CDB" w:rsidRPr="00607330" w:rsidRDefault="00E97E63" w:rsidP="007F4E93">
      <w:pPr>
        <w:autoSpaceDE w:val="0"/>
        <w:autoSpaceDN w:val="0"/>
        <w:adjustRightInd w:val="0"/>
        <w:spacing w:after="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iii) ad operare nel rispetto del Codice etico e del Piano triennale per la prevenzione della corruzione e della trasparenza ove adottati dalla Committente. </w:t>
      </w:r>
    </w:p>
    <w:p w14:paraId="4F5ABE75" w14:textId="4D08D912" w:rsidR="00E97E63" w:rsidRPr="00607330" w:rsidRDefault="00E97E63" w:rsidP="005D7CDB">
      <w:pPr>
        <w:autoSpaceDE w:val="0"/>
        <w:autoSpaceDN w:val="0"/>
        <w:adjustRightInd w:val="0"/>
        <w:spacing w:after="0" w:line="360"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In particolare, si precisa che gli obblighi in materia di riservatezza di cui al Codice Etico verranno rispettati anche in caso di cessazione dei rapporti attualmente in essere con la Committente e comunque per i cinque anni successivi alla cessazione di efficacia del rapporto contrattuale. </w:t>
      </w:r>
    </w:p>
    <w:p w14:paraId="0DC24C1D" w14:textId="5C6E988A" w:rsidR="00E97E63" w:rsidRPr="00607330" w:rsidRDefault="00E97E63" w:rsidP="007F4E93">
      <w:pPr>
        <w:autoSpaceDE w:val="0"/>
        <w:autoSpaceDN w:val="0"/>
        <w:adjustRightInd w:val="0"/>
        <w:spacing w:after="0" w:line="360" w:lineRule="auto"/>
        <w:jc w:val="both"/>
        <w:rPr>
          <w:rFonts w:ascii="Times New Roman" w:hAnsi="Times New Roman" w:cs="Times New Roman"/>
          <w:color w:val="000000"/>
          <w:kern w:val="0"/>
        </w:rPr>
      </w:pPr>
      <w:r w:rsidRPr="00607330">
        <w:rPr>
          <w:rFonts w:ascii="Times New Roman" w:hAnsi="Times New Roman" w:cs="Times New Roman"/>
          <w:color w:val="000000"/>
          <w:kern w:val="0"/>
        </w:rPr>
        <w:t>In caso di inadempimento da parte dell’Impresa</w:t>
      </w:r>
      <w:r w:rsidR="005D7CDB" w:rsidRPr="00607330">
        <w:rPr>
          <w:rFonts w:ascii="Times New Roman" w:hAnsi="Times New Roman" w:cs="Times New Roman"/>
          <w:color w:val="000000"/>
          <w:kern w:val="0"/>
        </w:rPr>
        <w:t xml:space="preserve"> concessionaria</w:t>
      </w:r>
      <w:r w:rsidRPr="00607330">
        <w:rPr>
          <w:rFonts w:ascii="Times New Roman" w:hAnsi="Times New Roman" w:cs="Times New Roman"/>
          <w:color w:val="000000"/>
          <w:kern w:val="0"/>
        </w:rPr>
        <w:t xml:space="preserve"> agli obblighi di cui ai precedenti </w:t>
      </w:r>
      <w:r w:rsidR="005D7CDB" w:rsidRPr="00607330">
        <w:rPr>
          <w:rFonts w:ascii="Times New Roman" w:hAnsi="Times New Roman" w:cs="Times New Roman"/>
          <w:color w:val="000000"/>
          <w:kern w:val="0"/>
        </w:rPr>
        <w:t>capoversi</w:t>
      </w:r>
      <w:r w:rsidRPr="00607330">
        <w:rPr>
          <w:rFonts w:ascii="Times New Roman" w:hAnsi="Times New Roman" w:cs="Times New Roman"/>
          <w:color w:val="000000"/>
          <w:kern w:val="0"/>
        </w:rPr>
        <w:t>, fermo restando il diritto</w:t>
      </w:r>
      <w:r w:rsidR="005D7CDB" w:rsidRPr="00607330">
        <w:rPr>
          <w:rFonts w:ascii="Times New Roman" w:hAnsi="Times New Roman" w:cs="Times New Roman"/>
          <w:color w:val="000000"/>
          <w:kern w:val="0"/>
        </w:rPr>
        <w:t xml:space="preserve"> al risarcimento del danno, la c</w:t>
      </w:r>
      <w:r w:rsidRPr="00607330">
        <w:rPr>
          <w:rFonts w:ascii="Times New Roman" w:hAnsi="Times New Roman" w:cs="Times New Roman"/>
          <w:color w:val="000000"/>
          <w:kern w:val="0"/>
        </w:rPr>
        <w:t>ommittente ha facoltà di dichiarare risolto il presente contratt</w:t>
      </w:r>
      <w:r w:rsidR="005D7CDB" w:rsidRPr="00607330">
        <w:rPr>
          <w:rFonts w:ascii="Times New Roman" w:hAnsi="Times New Roman" w:cs="Times New Roman"/>
          <w:color w:val="000000"/>
          <w:kern w:val="0"/>
        </w:rPr>
        <w:t>o ai sensi dell’art. 1456 c.c.</w:t>
      </w:r>
    </w:p>
    <w:p w14:paraId="498827B2" w14:textId="64D829E4" w:rsidR="00743A88" w:rsidRPr="00607330" w:rsidRDefault="00D72E40" w:rsidP="00743A88">
      <w:pPr>
        <w:pStyle w:val="Default"/>
        <w:spacing w:line="276" w:lineRule="auto"/>
        <w:jc w:val="center"/>
        <w:rPr>
          <w:b/>
          <w:bCs/>
          <w:sz w:val="22"/>
          <w:szCs w:val="22"/>
        </w:rPr>
      </w:pPr>
      <w:r>
        <w:rPr>
          <w:b/>
          <w:bCs/>
          <w:sz w:val="22"/>
          <w:szCs w:val="22"/>
        </w:rPr>
        <w:t xml:space="preserve">ART. 13 </w:t>
      </w:r>
      <w:r w:rsidR="00743A88" w:rsidRPr="00607330">
        <w:rPr>
          <w:b/>
          <w:bCs/>
          <w:sz w:val="22"/>
          <w:szCs w:val="22"/>
        </w:rPr>
        <w:t>- RISERVATEZZA</w:t>
      </w:r>
    </w:p>
    <w:p w14:paraId="0767BD6C" w14:textId="2B783EC4" w:rsidR="00743A88" w:rsidRPr="00607330" w:rsidRDefault="00743A88" w:rsidP="007F4E93">
      <w:pPr>
        <w:autoSpaceDE w:val="0"/>
        <w:autoSpaceDN w:val="0"/>
        <w:adjustRightInd w:val="0"/>
        <w:spacing w:after="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Il concessionario ha l’obbligo, pena la risoluzione del contratto e fatto salvo il diritto al risarcimento dei danni subiti dalla committente, di mantenere riservati, per tutta la durata del contratto medesimo e, per i cinque anni successivi alla cessazione di efficacia del rapporto contrattuale, i dati, le notizie e le informazioni in ordine alle attività svolte in adempimento del presente contratto, nonché quelli relativi alle attività svolte dalla committente di cui sia, comunque, venuta a conoscenza nel corso di esecuzione del contratto stesso. </w:t>
      </w:r>
    </w:p>
    <w:p w14:paraId="31DA7EF9" w14:textId="54C018B4" w:rsidR="00743A88" w:rsidRPr="00607330" w:rsidRDefault="00743A88" w:rsidP="007F4E93">
      <w:pPr>
        <w:autoSpaceDE w:val="0"/>
        <w:autoSpaceDN w:val="0"/>
        <w:adjustRightInd w:val="0"/>
        <w:spacing w:after="7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L’obbligo di cui al precedente comma si estende a tutto il materiale originario o predisposto in esecuzione del presente contratto, fatta eccezione per i dati, le notizie, le informazioni ed i documenti che siano o divengano di pubblico dominio. </w:t>
      </w:r>
    </w:p>
    <w:p w14:paraId="1B4239CC" w14:textId="23EF702C" w:rsidR="002A1841" w:rsidRPr="00D72E40" w:rsidRDefault="00743A88" w:rsidP="00D72E40">
      <w:pPr>
        <w:autoSpaceDE w:val="0"/>
        <w:autoSpaceDN w:val="0"/>
        <w:adjustRightInd w:val="0"/>
        <w:spacing w:after="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Il concessionario è responsabile per l’esatta osservanza, da parte dei propri dipendenti, consulenti e collaboratori, nonché dei propri eventuali subappaltatori e dei dipendenti, consulenti e collaboratori di questi ultimi, degli obblighi di riservatezza di cui al primo comma e, pertanto, si impegna a non eseguire ed a non permettere che altri eseguano copie, estratti, note o elaborazioni di qualsiasi atto o documento di cui sia venuta in possesso in ragione dell’incarico affidatole con il contratto. </w:t>
      </w:r>
    </w:p>
    <w:p w14:paraId="56AFFE7B" w14:textId="25523158" w:rsidR="002A1841" w:rsidRPr="00607330" w:rsidRDefault="002A1841" w:rsidP="002A1841">
      <w:pPr>
        <w:pStyle w:val="Default"/>
        <w:spacing w:line="276" w:lineRule="auto"/>
        <w:jc w:val="center"/>
        <w:rPr>
          <w:b/>
          <w:bCs/>
          <w:sz w:val="22"/>
          <w:szCs w:val="22"/>
        </w:rPr>
      </w:pPr>
      <w:r w:rsidRPr="00607330">
        <w:rPr>
          <w:b/>
          <w:bCs/>
          <w:sz w:val="22"/>
          <w:szCs w:val="22"/>
        </w:rPr>
        <w:t xml:space="preserve">ART. </w:t>
      </w:r>
      <w:r w:rsidR="00D72E40">
        <w:rPr>
          <w:b/>
          <w:bCs/>
          <w:sz w:val="22"/>
          <w:szCs w:val="22"/>
        </w:rPr>
        <w:t xml:space="preserve">14 </w:t>
      </w:r>
      <w:r w:rsidRPr="00607330">
        <w:rPr>
          <w:b/>
          <w:bCs/>
          <w:sz w:val="22"/>
          <w:szCs w:val="22"/>
        </w:rPr>
        <w:t>- ONERI</w:t>
      </w:r>
    </w:p>
    <w:p w14:paraId="256A1F9F" w14:textId="5B92A84C" w:rsidR="002A1841" w:rsidRPr="00607330" w:rsidRDefault="002A1841" w:rsidP="00D72E40">
      <w:pPr>
        <w:pStyle w:val="Default"/>
        <w:spacing w:line="276" w:lineRule="auto"/>
        <w:jc w:val="both"/>
        <w:rPr>
          <w:sz w:val="22"/>
          <w:szCs w:val="22"/>
        </w:rPr>
      </w:pPr>
      <w:r w:rsidRPr="00607330">
        <w:rPr>
          <w:sz w:val="22"/>
          <w:szCs w:val="22"/>
        </w:rPr>
        <w:t>I prezzi unitari di cui al presente contratto si intendono accettati dalla ditta in base a calcoli di sua convenienza e a tutto suo rischio con esatta e piena conoscenza degli oneri inerenti alla località ed alla specialità del servizio. Essi sono fissi ed invariabili in modo assoluto ed indipendenti da qualsiasi eventualità sfavorevole pur se dovuta a causa di forza maggiore; possibili modifiche sono consentite solo nelle ipotesi espressamente previste per legge.</w:t>
      </w:r>
    </w:p>
    <w:p w14:paraId="4606E291" w14:textId="755CAC81" w:rsidR="002A1841" w:rsidRPr="00607330" w:rsidRDefault="002A1841" w:rsidP="002A1841">
      <w:pPr>
        <w:pStyle w:val="Default"/>
        <w:spacing w:line="276" w:lineRule="auto"/>
        <w:jc w:val="center"/>
        <w:rPr>
          <w:b/>
          <w:bCs/>
          <w:sz w:val="22"/>
          <w:szCs w:val="22"/>
        </w:rPr>
      </w:pPr>
      <w:r w:rsidRPr="00607330">
        <w:rPr>
          <w:b/>
          <w:bCs/>
          <w:sz w:val="22"/>
          <w:szCs w:val="22"/>
        </w:rPr>
        <w:t>ART. 1</w:t>
      </w:r>
      <w:r w:rsidR="00D72E40">
        <w:rPr>
          <w:b/>
          <w:bCs/>
          <w:sz w:val="22"/>
          <w:szCs w:val="22"/>
        </w:rPr>
        <w:t>5</w:t>
      </w:r>
      <w:r w:rsidRPr="00607330">
        <w:rPr>
          <w:b/>
          <w:bCs/>
          <w:sz w:val="22"/>
          <w:szCs w:val="22"/>
        </w:rPr>
        <w:t xml:space="preserve"> - DOMICILIO LEGALE</w:t>
      </w:r>
    </w:p>
    <w:p w14:paraId="46853427" w14:textId="7D117F6A" w:rsidR="002A1841" w:rsidRPr="00D72E40" w:rsidRDefault="002A1841" w:rsidP="00D72E40">
      <w:pPr>
        <w:pStyle w:val="Default"/>
        <w:spacing w:line="276" w:lineRule="auto"/>
        <w:jc w:val="both"/>
        <w:rPr>
          <w:rFonts w:ascii="Arial" w:hAnsi="Arial" w:cs="Arial"/>
          <w:sz w:val="22"/>
          <w:szCs w:val="22"/>
        </w:rPr>
      </w:pPr>
      <w:r w:rsidRPr="00607330">
        <w:rPr>
          <w:sz w:val="22"/>
          <w:szCs w:val="22"/>
        </w:rPr>
        <w:t xml:space="preserve">Per tutti gli effetti del presente contratto la ditta aggiudicataria __________________ elegge domicilio legale presso la propria sede, ed allo stesso saranno notificati gli atti, sia giudiziari che amministrativi, ai quali potrà dare occasione il presente appalto. Il recapito postale al quale dovranno essere inviati gli avvisi di eventuali emissioni di titoli di spesa è: </w:t>
      </w:r>
      <w:r w:rsidRPr="00607330">
        <w:rPr>
          <w:rFonts w:ascii="Arial" w:hAnsi="Arial" w:cs="Arial"/>
          <w:sz w:val="22"/>
          <w:szCs w:val="22"/>
        </w:rPr>
        <w:t>___________________________.</w:t>
      </w:r>
    </w:p>
    <w:p w14:paraId="7F2E8C56" w14:textId="664B30B2" w:rsidR="002A1841" w:rsidRPr="00607330" w:rsidRDefault="002A1841" w:rsidP="002A1841">
      <w:pPr>
        <w:pStyle w:val="Default"/>
        <w:spacing w:line="276" w:lineRule="auto"/>
        <w:jc w:val="center"/>
        <w:rPr>
          <w:b/>
          <w:bCs/>
          <w:sz w:val="22"/>
          <w:szCs w:val="22"/>
        </w:rPr>
      </w:pPr>
      <w:r w:rsidRPr="00607330">
        <w:rPr>
          <w:b/>
          <w:bCs/>
          <w:sz w:val="22"/>
          <w:szCs w:val="22"/>
        </w:rPr>
        <w:t>ART. 1</w:t>
      </w:r>
      <w:r w:rsidR="00D72E40">
        <w:rPr>
          <w:b/>
          <w:bCs/>
          <w:sz w:val="22"/>
          <w:szCs w:val="22"/>
        </w:rPr>
        <w:t>6</w:t>
      </w:r>
      <w:r w:rsidRPr="00607330">
        <w:rPr>
          <w:b/>
          <w:bCs/>
          <w:sz w:val="22"/>
          <w:szCs w:val="22"/>
        </w:rPr>
        <w:t xml:space="preserve"> - NORMATIVA</w:t>
      </w:r>
    </w:p>
    <w:p w14:paraId="37CACD15" w14:textId="5BD13A40" w:rsidR="002A1841" w:rsidRPr="00607330" w:rsidRDefault="002A1841" w:rsidP="007F4E93">
      <w:pPr>
        <w:pStyle w:val="Default"/>
        <w:spacing w:line="276" w:lineRule="auto"/>
        <w:jc w:val="both"/>
        <w:rPr>
          <w:sz w:val="22"/>
          <w:szCs w:val="22"/>
        </w:rPr>
      </w:pPr>
      <w:r w:rsidRPr="00607330">
        <w:rPr>
          <w:sz w:val="22"/>
          <w:szCs w:val="22"/>
        </w:rPr>
        <w:t>L'appalto è disciplinato dalla vigente normativa in materia di appalti pubblici. Per tutto quanto non previsto nel presente contratto valgono le disposizioni contenute nel disciplinare di gara, nel capitolato tecnico e nei relativi allegati, nonché quanto indicato dalla ditta concessionaria nella relazione tecnica e nel progetto di assorbimento, nell’offerta economica e nei relativi allegati presentati in sede di gara.</w:t>
      </w:r>
    </w:p>
    <w:p w14:paraId="63E7F114" w14:textId="36942E40" w:rsidR="002A1841" w:rsidRPr="00607330" w:rsidRDefault="002A1841" w:rsidP="007F4E93">
      <w:pPr>
        <w:pStyle w:val="Default"/>
        <w:spacing w:line="276" w:lineRule="auto"/>
        <w:jc w:val="both"/>
        <w:rPr>
          <w:sz w:val="22"/>
          <w:szCs w:val="22"/>
        </w:rPr>
      </w:pPr>
      <w:r w:rsidRPr="00607330">
        <w:rPr>
          <w:sz w:val="22"/>
          <w:szCs w:val="22"/>
        </w:rPr>
        <w:t>L’esecuzione del presente contratto è regolata, oltre che da quanto disposto nel medesimo e nei relativi allegati</w:t>
      </w:r>
      <w:r w:rsidR="0057650F" w:rsidRPr="00607330">
        <w:rPr>
          <w:sz w:val="22"/>
          <w:szCs w:val="22"/>
        </w:rPr>
        <w:t>, anche</w:t>
      </w:r>
      <w:r w:rsidRPr="00607330">
        <w:rPr>
          <w:sz w:val="22"/>
          <w:szCs w:val="22"/>
        </w:rPr>
        <w:t xml:space="preserve">: </w:t>
      </w:r>
    </w:p>
    <w:p w14:paraId="54186D39" w14:textId="77777777" w:rsidR="002A1841" w:rsidRPr="00607330" w:rsidRDefault="002A1841" w:rsidP="00D72E40">
      <w:pPr>
        <w:pStyle w:val="Default"/>
        <w:tabs>
          <w:tab w:val="left" w:pos="284"/>
        </w:tabs>
        <w:spacing w:line="276" w:lineRule="auto"/>
        <w:jc w:val="both"/>
        <w:rPr>
          <w:sz w:val="22"/>
          <w:szCs w:val="22"/>
        </w:rPr>
      </w:pPr>
      <w:r w:rsidRPr="00607330">
        <w:rPr>
          <w:sz w:val="22"/>
          <w:szCs w:val="22"/>
        </w:rPr>
        <w:t>•</w:t>
      </w:r>
      <w:r w:rsidRPr="00607330">
        <w:rPr>
          <w:sz w:val="22"/>
          <w:szCs w:val="22"/>
        </w:rPr>
        <w:tab/>
        <w:t xml:space="preserve"> dalle norme applicabili ai contratti stipulati dalla pubblica amministrazione; </w:t>
      </w:r>
    </w:p>
    <w:p w14:paraId="4822FF32" w14:textId="77777777" w:rsidR="002A1841" w:rsidRPr="00607330" w:rsidRDefault="002A1841" w:rsidP="00D72E40">
      <w:pPr>
        <w:pStyle w:val="Default"/>
        <w:tabs>
          <w:tab w:val="left" w:pos="284"/>
        </w:tabs>
        <w:spacing w:line="276" w:lineRule="auto"/>
        <w:jc w:val="both"/>
        <w:rPr>
          <w:sz w:val="22"/>
          <w:szCs w:val="22"/>
        </w:rPr>
      </w:pPr>
      <w:r w:rsidRPr="00607330">
        <w:rPr>
          <w:sz w:val="22"/>
          <w:szCs w:val="22"/>
        </w:rPr>
        <w:t>•</w:t>
      </w:r>
      <w:r w:rsidRPr="00607330">
        <w:rPr>
          <w:sz w:val="22"/>
          <w:szCs w:val="22"/>
        </w:rPr>
        <w:tab/>
        <w:t xml:space="preserve">dal Codice Civile e dalle altre disposizioni normative in materia di contratti di diritto privato per quanto non regolato dalle disposizioni sopra richiamate; </w:t>
      </w:r>
    </w:p>
    <w:p w14:paraId="01A4F2B1" w14:textId="77777777" w:rsidR="002A1841" w:rsidRPr="00607330" w:rsidRDefault="002A1841" w:rsidP="00D72E40">
      <w:pPr>
        <w:pStyle w:val="Default"/>
        <w:tabs>
          <w:tab w:val="left" w:pos="284"/>
        </w:tabs>
        <w:spacing w:line="276" w:lineRule="auto"/>
        <w:jc w:val="both"/>
        <w:rPr>
          <w:sz w:val="22"/>
          <w:szCs w:val="22"/>
        </w:rPr>
      </w:pPr>
      <w:r w:rsidRPr="00607330">
        <w:rPr>
          <w:sz w:val="22"/>
          <w:szCs w:val="22"/>
        </w:rPr>
        <w:t>•</w:t>
      </w:r>
      <w:r w:rsidRPr="00607330">
        <w:rPr>
          <w:sz w:val="22"/>
          <w:szCs w:val="22"/>
        </w:rPr>
        <w:tab/>
        <w:t xml:space="preserve">dal </w:t>
      </w:r>
      <w:proofErr w:type="gramStart"/>
      <w:r w:rsidRPr="00607330">
        <w:rPr>
          <w:sz w:val="22"/>
          <w:szCs w:val="22"/>
        </w:rPr>
        <w:t>D.Lgs</w:t>
      </w:r>
      <w:proofErr w:type="gramEnd"/>
      <w:r w:rsidRPr="00607330">
        <w:rPr>
          <w:sz w:val="22"/>
          <w:szCs w:val="22"/>
        </w:rPr>
        <w:t>. 9 aprile n. 2008, n.81;</w:t>
      </w:r>
    </w:p>
    <w:p w14:paraId="2FFF1564" w14:textId="77777777" w:rsidR="002A1841" w:rsidRPr="00607330" w:rsidRDefault="002A1841" w:rsidP="00D72E40">
      <w:pPr>
        <w:pStyle w:val="Default"/>
        <w:tabs>
          <w:tab w:val="left" w:pos="284"/>
        </w:tabs>
        <w:spacing w:line="276" w:lineRule="auto"/>
        <w:jc w:val="both"/>
        <w:rPr>
          <w:sz w:val="22"/>
          <w:szCs w:val="22"/>
        </w:rPr>
      </w:pPr>
      <w:r w:rsidRPr="00607330">
        <w:rPr>
          <w:sz w:val="22"/>
          <w:szCs w:val="22"/>
        </w:rPr>
        <w:t>•</w:t>
      </w:r>
      <w:r w:rsidRPr="00607330">
        <w:rPr>
          <w:sz w:val="22"/>
          <w:szCs w:val="22"/>
        </w:rPr>
        <w:tab/>
        <w:t xml:space="preserve">dalle disposizioni di cui al </w:t>
      </w:r>
      <w:proofErr w:type="gramStart"/>
      <w:r w:rsidRPr="00607330">
        <w:rPr>
          <w:sz w:val="22"/>
          <w:szCs w:val="22"/>
        </w:rPr>
        <w:t>D.Lgs</w:t>
      </w:r>
      <w:proofErr w:type="gramEnd"/>
      <w:r w:rsidRPr="00607330">
        <w:rPr>
          <w:sz w:val="22"/>
          <w:szCs w:val="22"/>
        </w:rPr>
        <w:t xml:space="preserve">. 36/2023 e ss.mm.ii.; </w:t>
      </w:r>
    </w:p>
    <w:p w14:paraId="67E473CB" w14:textId="77777777" w:rsidR="002A1841" w:rsidRPr="00607330" w:rsidRDefault="002A1841" w:rsidP="00D72E40">
      <w:pPr>
        <w:pStyle w:val="Default"/>
        <w:tabs>
          <w:tab w:val="left" w:pos="284"/>
        </w:tabs>
        <w:spacing w:line="276" w:lineRule="auto"/>
        <w:jc w:val="both"/>
        <w:rPr>
          <w:sz w:val="22"/>
          <w:szCs w:val="22"/>
        </w:rPr>
      </w:pPr>
      <w:r w:rsidRPr="00607330">
        <w:rPr>
          <w:sz w:val="22"/>
          <w:szCs w:val="22"/>
        </w:rPr>
        <w:t>•</w:t>
      </w:r>
      <w:r w:rsidRPr="00607330">
        <w:rPr>
          <w:sz w:val="22"/>
          <w:szCs w:val="22"/>
        </w:rPr>
        <w:tab/>
        <w:t xml:space="preserve">dal Patto di Integrità; </w:t>
      </w:r>
    </w:p>
    <w:p w14:paraId="423B2F9D" w14:textId="77777777" w:rsidR="002A1841" w:rsidRPr="00607330" w:rsidRDefault="002A1841" w:rsidP="00D72E40">
      <w:pPr>
        <w:pStyle w:val="Default"/>
        <w:tabs>
          <w:tab w:val="left" w:pos="284"/>
        </w:tabs>
        <w:spacing w:line="276" w:lineRule="auto"/>
        <w:jc w:val="both"/>
        <w:rPr>
          <w:sz w:val="22"/>
          <w:szCs w:val="22"/>
        </w:rPr>
      </w:pPr>
      <w:r w:rsidRPr="00607330">
        <w:rPr>
          <w:sz w:val="22"/>
          <w:szCs w:val="22"/>
        </w:rPr>
        <w:t>•</w:t>
      </w:r>
      <w:r w:rsidRPr="00607330">
        <w:rPr>
          <w:sz w:val="22"/>
          <w:szCs w:val="22"/>
        </w:rPr>
        <w:tab/>
        <w:t xml:space="preserve">ove esistenti, dal Codice Etico e dal Piano Triennale per la prevenzione della corruzione e della trasparenza adottato dalla Committente e consultabili direttamente sul sito internet della stessa; </w:t>
      </w:r>
    </w:p>
    <w:p w14:paraId="739E7BBD" w14:textId="77777777" w:rsidR="002A1841" w:rsidRPr="00607330" w:rsidRDefault="002A1841" w:rsidP="00D72E40">
      <w:pPr>
        <w:pStyle w:val="Default"/>
        <w:tabs>
          <w:tab w:val="left" w:pos="284"/>
        </w:tabs>
        <w:spacing w:line="276" w:lineRule="auto"/>
        <w:jc w:val="both"/>
        <w:rPr>
          <w:sz w:val="22"/>
          <w:szCs w:val="22"/>
        </w:rPr>
      </w:pPr>
      <w:r w:rsidRPr="00607330">
        <w:rPr>
          <w:sz w:val="22"/>
          <w:szCs w:val="22"/>
        </w:rPr>
        <w:t>•</w:t>
      </w:r>
      <w:r w:rsidRPr="00607330">
        <w:rPr>
          <w:sz w:val="22"/>
          <w:szCs w:val="22"/>
        </w:rPr>
        <w:tab/>
        <w:t xml:space="preserve">ove applicabile, dalla direttiva 19 dicembre 2003 “Sviluppo ed utilizzazione dei programmi informatici da parte delle Pubbliche Amministrazioni” pubblicata sulla Gazzetta Ufficiale n. 31 del 7 febbraio 2004; </w:t>
      </w:r>
    </w:p>
    <w:p w14:paraId="21FDFC78" w14:textId="77777777" w:rsidR="002A1841" w:rsidRPr="00607330" w:rsidRDefault="002A1841" w:rsidP="00D72E40">
      <w:pPr>
        <w:pStyle w:val="Default"/>
        <w:tabs>
          <w:tab w:val="left" w:pos="284"/>
        </w:tabs>
        <w:spacing w:line="276" w:lineRule="auto"/>
        <w:jc w:val="both"/>
        <w:rPr>
          <w:sz w:val="22"/>
          <w:szCs w:val="22"/>
        </w:rPr>
      </w:pPr>
      <w:r w:rsidRPr="00607330">
        <w:rPr>
          <w:sz w:val="22"/>
          <w:szCs w:val="22"/>
        </w:rPr>
        <w:t>•</w:t>
      </w:r>
      <w:r w:rsidRPr="00607330">
        <w:rPr>
          <w:sz w:val="22"/>
          <w:szCs w:val="22"/>
        </w:rPr>
        <w:tab/>
        <w:t>ove applicabile, dalle linee Guida adottate dall’A.N.AC.;</w:t>
      </w:r>
    </w:p>
    <w:p w14:paraId="369A2E95" w14:textId="28341036" w:rsidR="0057650F" w:rsidRPr="00607330" w:rsidRDefault="002A1841" w:rsidP="00D72E40">
      <w:pPr>
        <w:pStyle w:val="Default"/>
        <w:tabs>
          <w:tab w:val="left" w:pos="284"/>
        </w:tabs>
        <w:spacing w:line="276" w:lineRule="auto"/>
        <w:jc w:val="both"/>
        <w:rPr>
          <w:sz w:val="22"/>
          <w:szCs w:val="22"/>
        </w:rPr>
      </w:pPr>
      <w:r w:rsidRPr="00607330">
        <w:rPr>
          <w:sz w:val="22"/>
          <w:szCs w:val="22"/>
        </w:rPr>
        <w:t>•</w:t>
      </w:r>
      <w:r w:rsidRPr="00607330">
        <w:rPr>
          <w:sz w:val="22"/>
          <w:szCs w:val="22"/>
        </w:rPr>
        <w:tab/>
        <w:t xml:space="preserve">ove applicabili, dalle leggi, dai regolamenti, e, in generale, dalle norme nazionali ed europee, anche di soft law, applicabili in relazione al trattamento e/o alla protezione dei dati personali e alla sicurezza delle informazioni, così come modificate di volta in volta, ivi incluso, a titolo esemplificativo e non esaustivo, il Regolamento (UE) 2016/679 (“Regolamento” o “GDPR”), il </w:t>
      </w:r>
      <w:proofErr w:type="gramStart"/>
      <w:r w:rsidRPr="00607330">
        <w:rPr>
          <w:sz w:val="22"/>
          <w:szCs w:val="22"/>
        </w:rPr>
        <w:t>D.Lgs</w:t>
      </w:r>
      <w:proofErr w:type="gramEnd"/>
      <w:r w:rsidRPr="00607330">
        <w:rPr>
          <w:sz w:val="22"/>
          <w:szCs w:val="22"/>
        </w:rPr>
        <w:t xml:space="preserve">. 196/2003 come novellato dalla normativa di adeguamento italiana di cui al </w:t>
      </w:r>
      <w:proofErr w:type="gramStart"/>
      <w:r w:rsidRPr="00607330">
        <w:rPr>
          <w:sz w:val="22"/>
          <w:szCs w:val="22"/>
        </w:rPr>
        <w:t>D.Lgs</w:t>
      </w:r>
      <w:proofErr w:type="gramEnd"/>
      <w:r w:rsidRPr="00607330">
        <w:rPr>
          <w:sz w:val="22"/>
          <w:szCs w:val="22"/>
        </w:rPr>
        <w:t xml:space="preserve">. 101/2018 (Codice privacy), circolari, pareri, direttive, le linee guida e provvedimenti interpretativi adottati dall’Autorità di Controllo nazionale e/o delle competenti autorità europee (incluso lo </w:t>
      </w:r>
      <w:proofErr w:type="spellStart"/>
      <w:r w:rsidRPr="00607330">
        <w:rPr>
          <w:sz w:val="22"/>
          <w:szCs w:val="22"/>
        </w:rPr>
        <w:t>European</w:t>
      </w:r>
      <w:proofErr w:type="spellEnd"/>
      <w:r w:rsidRPr="00607330">
        <w:rPr>
          <w:sz w:val="22"/>
          <w:szCs w:val="22"/>
        </w:rPr>
        <w:t xml:space="preserve"> Data </w:t>
      </w:r>
      <w:proofErr w:type="spellStart"/>
      <w:r w:rsidRPr="00607330">
        <w:rPr>
          <w:sz w:val="22"/>
          <w:szCs w:val="22"/>
        </w:rPr>
        <w:t>Protection</w:t>
      </w:r>
      <w:proofErr w:type="spellEnd"/>
      <w:r w:rsidRPr="00607330">
        <w:rPr>
          <w:sz w:val="22"/>
          <w:szCs w:val="22"/>
        </w:rPr>
        <w:t xml:space="preserve"> Board) (di seguito complessivamente “Norme in materia di Protezione dei Dati Personali”).</w:t>
      </w:r>
    </w:p>
    <w:p w14:paraId="27F2934F" w14:textId="75CB0EF3" w:rsidR="0057650F" w:rsidRPr="00607330" w:rsidRDefault="00D72E40" w:rsidP="007F4E93">
      <w:pPr>
        <w:pStyle w:val="Default"/>
        <w:spacing w:line="276" w:lineRule="auto"/>
        <w:jc w:val="center"/>
        <w:rPr>
          <w:b/>
          <w:sz w:val="22"/>
          <w:szCs w:val="22"/>
        </w:rPr>
      </w:pPr>
      <w:r>
        <w:rPr>
          <w:b/>
          <w:sz w:val="22"/>
          <w:szCs w:val="22"/>
        </w:rPr>
        <w:t>ART. 17</w:t>
      </w:r>
      <w:r w:rsidR="0057650F" w:rsidRPr="00607330">
        <w:rPr>
          <w:b/>
          <w:sz w:val="22"/>
          <w:szCs w:val="22"/>
        </w:rPr>
        <w:t xml:space="preserve"> - SPESE CONTRATTUALI</w:t>
      </w:r>
    </w:p>
    <w:p w14:paraId="38B83A0C" w14:textId="31D77E15" w:rsidR="0057650F" w:rsidRPr="00D72E40" w:rsidRDefault="0057650F" w:rsidP="00D72E40">
      <w:pPr>
        <w:pStyle w:val="Default"/>
        <w:spacing w:line="276" w:lineRule="auto"/>
        <w:jc w:val="both"/>
        <w:rPr>
          <w:sz w:val="22"/>
          <w:szCs w:val="22"/>
        </w:rPr>
      </w:pPr>
      <w:r w:rsidRPr="00607330">
        <w:rPr>
          <w:sz w:val="22"/>
          <w:szCs w:val="22"/>
        </w:rPr>
        <w:t>Tutte le spese inerenti e conseguenti al presente contratto, per bollo, registrazione ed ogni altra eventuale causa, sono a totale carico della ditta concessionaria ad eccezione dell’IVA che rimane a carico dell’Amministrazione.</w:t>
      </w:r>
    </w:p>
    <w:p w14:paraId="0E97A5B2" w14:textId="544D5D60" w:rsidR="0057650F" w:rsidRPr="00607330" w:rsidRDefault="00D72E40" w:rsidP="000906F4">
      <w:pPr>
        <w:pStyle w:val="Default"/>
        <w:spacing w:line="360" w:lineRule="auto"/>
        <w:jc w:val="center"/>
        <w:rPr>
          <w:b/>
          <w:color w:val="auto"/>
          <w:sz w:val="22"/>
          <w:szCs w:val="22"/>
        </w:rPr>
      </w:pPr>
      <w:r>
        <w:rPr>
          <w:b/>
          <w:color w:val="auto"/>
          <w:sz w:val="22"/>
          <w:szCs w:val="22"/>
        </w:rPr>
        <w:t>ART. 18</w:t>
      </w:r>
      <w:r w:rsidR="000906F4" w:rsidRPr="00607330">
        <w:rPr>
          <w:b/>
          <w:color w:val="auto"/>
          <w:sz w:val="22"/>
          <w:szCs w:val="22"/>
        </w:rPr>
        <w:t xml:space="preserve"> - FORO COMPETENTE</w:t>
      </w:r>
    </w:p>
    <w:p w14:paraId="0F31B660" w14:textId="799D4857" w:rsidR="000906F4" w:rsidRPr="00607330" w:rsidRDefault="0057650F" w:rsidP="00D72E40">
      <w:pPr>
        <w:pStyle w:val="Default"/>
        <w:spacing w:line="276" w:lineRule="auto"/>
        <w:jc w:val="both"/>
        <w:rPr>
          <w:sz w:val="22"/>
          <w:szCs w:val="22"/>
        </w:rPr>
      </w:pPr>
      <w:r w:rsidRPr="00607330">
        <w:rPr>
          <w:sz w:val="22"/>
          <w:szCs w:val="22"/>
        </w:rPr>
        <w:t>Per tutte le controversie che dovessero insorger</w:t>
      </w:r>
      <w:r w:rsidR="000906F4" w:rsidRPr="00607330">
        <w:rPr>
          <w:sz w:val="22"/>
          <w:szCs w:val="22"/>
        </w:rPr>
        <w:t>e tra le parti in relazione all’</w:t>
      </w:r>
      <w:r w:rsidRPr="00607330">
        <w:rPr>
          <w:sz w:val="22"/>
          <w:szCs w:val="22"/>
        </w:rPr>
        <w:t xml:space="preserve">interpretazione, </w:t>
      </w:r>
      <w:r w:rsidR="000906F4" w:rsidRPr="00607330">
        <w:rPr>
          <w:sz w:val="22"/>
          <w:szCs w:val="22"/>
        </w:rPr>
        <w:t>all’</w:t>
      </w:r>
      <w:r w:rsidRPr="00607330">
        <w:rPr>
          <w:sz w:val="22"/>
          <w:szCs w:val="22"/>
        </w:rPr>
        <w:t xml:space="preserve">esecuzione e </w:t>
      </w:r>
      <w:r w:rsidR="000906F4" w:rsidRPr="00607330">
        <w:rPr>
          <w:sz w:val="22"/>
          <w:szCs w:val="22"/>
        </w:rPr>
        <w:t xml:space="preserve">alla </w:t>
      </w:r>
      <w:r w:rsidRPr="00607330">
        <w:rPr>
          <w:sz w:val="22"/>
          <w:szCs w:val="22"/>
        </w:rPr>
        <w:t>risoluzione del presente contratto sarà competente in via esclusiva il Foro di Siracusa.</w:t>
      </w:r>
    </w:p>
    <w:p w14:paraId="42C8E6E7" w14:textId="2E248CE9" w:rsidR="00146FC8" w:rsidRPr="00607330" w:rsidRDefault="00146FC8" w:rsidP="00146FC8">
      <w:pPr>
        <w:autoSpaceDE w:val="0"/>
        <w:autoSpaceDN w:val="0"/>
        <w:adjustRightInd w:val="0"/>
        <w:spacing w:after="0" w:line="240" w:lineRule="auto"/>
        <w:jc w:val="center"/>
        <w:rPr>
          <w:rFonts w:ascii="Times New Roman" w:hAnsi="Times New Roman" w:cs="Times New Roman"/>
          <w:color w:val="000000"/>
          <w:kern w:val="0"/>
        </w:rPr>
      </w:pPr>
      <w:r w:rsidRPr="00607330">
        <w:rPr>
          <w:rFonts w:ascii="Times New Roman" w:hAnsi="Times New Roman" w:cs="Times New Roman"/>
          <w:b/>
          <w:bCs/>
          <w:color w:val="000000"/>
          <w:kern w:val="0"/>
        </w:rPr>
        <w:t>ART. 1</w:t>
      </w:r>
      <w:r w:rsidR="00D72E40">
        <w:rPr>
          <w:rFonts w:ascii="Times New Roman" w:hAnsi="Times New Roman" w:cs="Times New Roman"/>
          <w:b/>
          <w:bCs/>
          <w:color w:val="000000"/>
          <w:kern w:val="0"/>
        </w:rPr>
        <w:t>9</w:t>
      </w:r>
      <w:r w:rsidRPr="00607330">
        <w:rPr>
          <w:rFonts w:ascii="Times New Roman" w:hAnsi="Times New Roman" w:cs="Times New Roman"/>
          <w:b/>
          <w:bCs/>
          <w:color w:val="000000"/>
          <w:kern w:val="0"/>
        </w:rPr>
        <w:t xml:space="preserve"> - TRATTAMENTO DEI DATI PERSONALI</w:t>
      </w:r>
    </w:p>
    <w:p w14:paraId="304EFC18" w14:textId="5FDD9562" w:rsidR="00146FC8" w:rsidRPr="00607330" w:rsidRDefault="00146FC8" w:rsidP="007F4E93">
      <w:pPr>
        <w:autoSpaceDE w:val="0"/>
        <w:autoSpaceDN w:val="0"/>
        <w:adjustRightInd w:val="0"/>
        <w:spacing w:after="7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Il concessionario dichiara di aver ricevuto prima della sottoscrizione del presente contratto le informazioni di cui all’art. 13 del Regolamento UE n. 2016/679 relativo alla protezione delle persone fisiche con riguardo al trattamento dei dati personali, nonché alla libera circolazione di tali dati (di seguito anche </w:t>
      </w:r>
      <w:r w:rsidRPr="00607330">
        <w:rPr>
          <w:rFonts w:ascii="Times New Roman" w:hAnsi="Times New Roman" w:cs="Times New Roman"/>
          <w:i/>
          <w:iCs/>
          <w:color w:val="000000"/>
          <w:kern w:val="0"/>
        </w:rPr>
        <w:t>“Regolamento”</w:t>
      </w:r>
      <w:r w:rsidRPr="00607330">
        <w:rPr>
          <w:rFonts w:ascii="Times New Roman" w:hAnsi="Times New Roman" w:cs="Times New Roman"/>
          <w:color w:val="000000"/>
          <w:kern w:val="0"/>
        </w:rPr>
        <w:t xml:space="preserve">), circa il trattamento dei dati personali, conferiti per la sottoscrizione e l’esecuzione del Contratto stesso e di essere a conoscenza dei diritti riconosciuti ai sensi della predetta normativa. Tale informativa è richiamata nell’art. 31 del disciplinare di gara, che deve intendersi in quest’ambito integralmente richiamato. </w:t>
      </w:r>
    </w:p>
    <w:p w14:paraId="6129E5D4" w14:textId="24ACA0AA" w:rsidR="00146FC8" w:rsidRPr="00607330" w:rsidRDefault="00146FC8" w:rsidP="007F4E93">
      <w:pPr>
        <w:autoSpaceDE w:val="0"/>
        <w:autoSpaceDN w:val="0"/>
        <w:adjustRightInd w:val="0"/>
        <w:spacing w:after="7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La Committente tratta i dati forniti dal concessionario, ai fini della stipula del contratto, per l’adempimento degli obblighi legali ad esso connessi, oltre che per la gestione ed esecuzione economica ed amministrativa del contratto stesso in adempimento di precisi obblighi di legge derivanti dalla normativa in materia di appalti e contrattualistica pubblica. Tutti i dati acquisiti dalla committente potranno essere trattati anche per fini di studio e statistici. </w:t>
      </w:r>
    </w:p>
    <w:p w14:paraId="1F62F04D" w14:textId="37A70F71" w:rsidR="00146FC8" w:rsidRPr="00607330" w:rsidRDefault="00146FC8" w:rsidP="007F4E93">
      <w:pPr>
        <w:autoSpaceDE w:val="0"/>
        <w:autoSpaceDN w:val="0"/>
        <w:adjustRightInd w:val="0"/>
        <w:spacing w:after="7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Con la sottoscrizione del contratto, il concessionario, in persona del legale rappresentante pro-tempore o di procuratore in grado di impegnare sullo specifico tema l’azienda, si impegna a svolgere il trattamento dei dati personali come sopra definito e inoltre si impegna ad adempiere agli obblighi di rilascio dell’informativa e di richiesta del consenso, ove necessario, nei confronti delle persone fisiche interessate di cui sono forniti dati personali nell’ambito dell’esecuzione del contratto, per le finalità descritte nel disciplinare di gara e sopra richiamate. </w:t>
      </w:r>
    </w:p>
    <w:p w14:paraId="0BC0154F" w14:textId="77777777" w:rsidR="00B146DA" w:rsidRPr="00607330" w:rsidRDefault="00146FC8" w:rsidP="007F4E93">
      <w:pPr>
        <w:autoSpaceDE w:val="0"/>
        <w:autoSpaceDN w:val="0"/>
        <w:adjustRightInd w:val="0"/>
        <w:spacing w:after="7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Il Concessionario prende atto ed acconsente che la propria ragione sociale ed il prezzo di aggiudicazione siano pubblicati e diffusi </w:t>
      </w:r>
      <w:r w:rsidR="00B146DA" w:rsidRPr="00607330">
        <w:rPr>
          <w:rFonts w:ascii="Times New Roman" w:hAnsi="Times New Roman" w:cs="Times New Roman"/>
          <w:color w:val="000000"/>
          <w:kern w:val="0"/>
        </w:rPr>
        <w:t>tramite il sito internet della c</w:t>
      </w:r>
      <w:r w:rsidRPr="00607330">
        <w:rPr>
          <w:rFonts w:ascii="Times New Roman" w:hAnsi="Times New Roman" w:cs="Times New Roman"/>
          <w:color w:val="000000"/>
          <w:kern w:val="0"/>
        </w:rPr>
        <w:t>ommittente. Inoltre, le informazioni e i dati inerenti la partecipazione all’iniziativa di gara, nei limiti e in applicazione dei principi e delle disposizioni in materia di dati pubblici e riutilizzo delle inform</w:t>
      </w:r>
      <w:r w:rsidR="00B146DA" w:rsidRPr="00607330">
        <w:rPr>
          <w:rFonts w:ascii="Times New Roman" w:hAnsi="Times New Roman" w:cs="Times New Roman"/>
          <w:color w:val="000000"/>
          <w:kern w:val="0"/>
        </w:rPr>
        <w:t>azioni del settore pubblico (</w:t>
      </w:r>
      <w:proofErr w:type="gramStart"/>
      <w:r w:rsidR="00B146DA" w:rsidRPr="00607330">
        <w:rPr>
          <w:rFonts w:ascii="Times New Roman" w:hAnsi="Times New Roman" w:cs="Times New Roman"/>
          <w:color w:val="000000"/>
          <w:kern w:val="0"/>
        </w:rPr>
        <w:t>D.</w:t>
      </w:r>
      <w:r w:rsidRPr="00607330">
        <w:rPr>
          <w:rFonts w:ascii="Times New Roman" w:hAnsi="Times New Roman" w:cs="Times New Roman"/>
          <w:color w:val="000000"/>
          <w:kern w:val="0"/>
        </w:rPr>
        <w:t>Lgs</w:t>
      </w:r>
      <w:proofErr w:type="gramEnd"/>
      <w:r w:rsidRPr="00607330">
        <w:rPr>
          <w:rFonts w:ascii="Times New Roman" w:hAnsi="Times New Roman" w:cs="Times New Roman"/>
          <w:color w:val="000000"/>
          <w:kern w:val="0"/>
        </w:rPr>
        <w:t xml:space="preserve">. 36/2006 e artt. 52 e 68, comma 3, del </w:t>
      </w:r>
      <w:proofErr w:type="gramStart"/>
      <w:r w:rsidRPr="00607330">
        <w:rPr>
          <w:rFonts w:ascii="Times New Roman" w:hAnsi="Times New Roman" w:cs="Times New Roman"/>
          <w:color w:val="000000"/>
          <w:kern w:val="0"/>
        </w:rPr>
        <w:t>D.Lgs</w:t>
      </w:r>
      <w:proofErr w:type="gramEnd"/>
      <w:r w:rsidRPr="00607330">
        <w:rPr>
          <w:rFonts w:ascii="Times New Roman" w:hAnsi="Times New Roman" w:cs="Times New Roman"/>
          <w:color w:val="000000"/>
          <w:kern w:val="0"/>
        </w:rPr>
        <w:t>. 82/2015), po</w:t>
      </w:r>
      <w:r w:rsidR="00B146DA" w:rsidRPr="00607330">
        <w:rPr>
          <w:rFonts w:ascii="Times New Roman" w:hAnsi="Times New Roman" w:cs="Times New Roman"/>
          <w:color w:val="000000"/>
          <w:kern w:val="0"/>
        </w:rPr>
        <w:t>tranno essere utilizzati dalla c</w:t>
      </w:r>
      <w:r w:rsidRPr="00607330">
        <w:rPr>
          <w:rFonts w:ascii="Times New Roman" w:hAnsi="Times New Roman" w:cs="Times New Roman"/>
          <w:color w:val="000000"/>
          <w:kern w:val="0"/>
        </w:rPr>
        <w:t>ommittente, anche in forma aggregata, per essere messi a disposizione del Ministero dell’economia e delle finanze o di altre pubbliche amministrazioni, persone fisiche e giuridiche, anche come dati di tipo aperto in ragione della normativa sul riuso dei dati pubblici. Oltre a quanto sopra, in adempimento agli obblighi di legge che impongono la trasparenza amministrativa (art. 1, comma 16, lett. b e c</w:t>
      </w:r>
      <w:r w:rsidR="00B146DA" w:rsidRPr="00607330">
        <w:rPr>
          <w:rFonts w:ascii="Times New Roman" w:hAnsi="Times New Roman" w:cs="Times New Roman"/>
          <w:color w:val="000000"/>
          <w:kern w:val="0"/>
        </w:rPr>
        <w:t xml:space="preserve">omma 32 L. 190/2012; art. 35 </w:t>
      </w:r>
      <w:proofErr w:type="gramStart"/>
      <w:r w:rsidR="00B146DA" w:rsidRPr="00607330">
        <w:rPr>
          <w:rFonts w:ascii="Times New Roman" w:hAnsi="Times New Roman" w:cs="Times New Roman"/>
          <w:color w:val="000000"/>
          <w:kern w:val="0"/>
        </w:rPr>
        <w:t>D.</w:t>
      </w:r>
      <w:r w:rsidRPr="00607330">
        <w:rPr>
          <w:rFonts w:ascii="Times New Roman" w:hAnsi="Times New Roman" w:cs="Times New Roman"/>
          <w:color w:val="000000"/>
          <w:kern w:val="0"/>
        </w:rPr>
        <w:t>Lgs</w:t>
      </w:r>
      <w:proofErr w:type="gramEnd"/>
      <w:r w:rsidR="00B146DA" w:rsidRPr="00607330">
        <w:rPr>
          <w:rFonts w:ascii="Times New Roman" w:hAnsi="Times New Roman" w:cs="Times New Roman"/>
          <w:color w:val="000000"/>
          <w:kern w:val="0"/>
        </w:rPr>
        <w:t xml:space="preserve">. n. 33/2012; nonché art. 29 </w:t>
      </w:r>
      <w:proofErr w:type="gramStart"/>
      <w:r w:rsidR="00B146DA" w:rsidRPr="00607330">
        <w:rPr>
          <w:rFonts w:ascii="Times New Roman" w:hAnsi="Times New Roman" w:cs="Times New Roman"/>
          <w:color w:val="000000"/>
          <w:kern w:val="0"/>
        </w:rPr>
        <w:t>D.</w:t>
      </w:r>
      <w:r w:rsidRPr="00607330">
        <w:rPr>
          <w:rFonts w:ascii="Times New Roman" w:hAnsi="Times New Roman" w:cs="Times New Roman"/>
          <w:color w:val="000000"/>
          <w:kern w:val="0"/>
        </w:rPr>
        <w:t>Lgs</w:t>
      </w:r>
      <w:proofErr w:type="gramEnd"/>
      <w:r w:rsidRPr="00607330">
        <w:rPr>
          <w:rFonts w:ascii="Times New Roman" w:hAnsi="Times New Roman" w:cs="Times New Roman"/>
          <w:color w:val="000000"/>
          <w:kern w:val="0"/>
        </w:rPr>
        <w:t xml:space="preserve">. n. 50/2016 </w:t>
      </w:r>
      <w:r w:rsidR="00B146DA" w:rsidRPr="00607330">
        <w:rPr>
          <w:rFonts w:ascii="Times New Roman" w:hAnsi="Times New Roman" w:cs="Times New Roman"/>
          <w:color w:val="000000"/>
          <w:kern w:val="0"/>
        </w:rPr>
        <w:t>s</w:t>
      </w:r>
      <w:r w:rsidRPr="00607330">
        <w:rPr>
          <w:rFonts w:ascii="Times New Roman" w:hAnsi="Times New Roman" w:cs="Times New Roman"/>
          <w:color w:val="000000"/>
          <w:kern w:val="0"/>
        </w:rPr>
        <w:t>s.</w:t>
      </w:r>
      <w:r w:rsidR="00B146DA" w:rsidRPr="00607330">
        <w:rPr>
          <w:rFonts w:ascii="Times New Roman" w:hAnsi="Times New Roman" w:cs="Times New Roman"/>
          <w:color w:val="000000"/>
          <w:kern w:val="0"/>
        </w:rPr>
        <w:t>m</w:t>
      </w:r>
      <w:r w:rsidRPr="00607330">
        <w:rPr>
          <w:rFonts w:ascii="Times New Roman" w:hAnsi="Times New Roman" w:cs="Times New Roman"/>
          <w:color w:val="000000"/>
          <w:kern w:val="0"/>
        </w:rPr>
        <w:t>m.</w:t>
      </w:r>
      <w:r w:rsidR="00B146DA" w:rsidRPr="00607330">
        <w:rPr>
          <w:rFonts w:ascii="Times New Roman" w:hAnsi="Times New Roman" w:cs="Times New Roman"/>
          <w:color w:val="000000"/>
          <w:kern w:val="0"/>
        </w:rPr>
        <w:t>i</w:t>
      </w:r>
      <w:r w:rsidRPr="00607330">
        <w:rPr>
          <w:rFonts w:ascii="Times New Roman" w:hAnsi="Times New Roman" w:cs="Times New Roman"/>
          <w:color w:val="000000"/>
          <w:kern w:val="0"/>
        </w:rPr>
        <w:t xml:space="preserve">i.), il </w:t>
      </w:r>
      <w:r w:rsidR="00B146DA" w:rsidRPr="00607330">
        <w:rPr>
          <w:rFonts w:ascii="Times New Roman" w:hAnsi="Times New Roman" w:cs="Times New Roman"/>
          <w:color w:val="000000"/>
          <w:kern w:val="0"/>
        </w:rPr>
        <w:t>concessionario</w:t>
      </w:r>
      <w:r w:rsidRPr="00607330">
        <w:rPr>
          <w:rFonts w:ascii="Times New Roman" w:hAnsi="Times New Roman" w:cs="Times New Roman"/>
          <w:color w:val="000000"/>
          <w:kern w:val="0"/>
        </w:rPr>
        <w:t xml:space="preserve"> prende atto ed acconsente a che i dati e/o la documentazione che la legge impone di pubblicare, siano pubblicati e diffusi </w:t>
      </w:r>
      <w:r w:rsidR="00B146DA" w:rsidRPr="00607330">
        <w:rPr>
          <w:rFonts w:ascii="Times New Roman" w:hAnsi="Times New Roman" w:cs="Times New Roman"/>
          <w:color w:val="000000"/>
          <w:kern w:val="0"/>
        </w:rPr>
        <w:t>tramite il sito internet della c</w:t>
      </w:r>
      <w:r w:rsidRPr="00607330">
        <w:rPr>
          <w:rFonts w:ascii="Times New Roman" w:hAnsi="Times New Roman" w:cs="Times New Roman"/>
          <w:color w:val="000000"/>
          <w:kern w:val="0"/>
        </w:rPr>
        <w:t xml:space="preserve">ommittente, nella sezione relativa alla trasparenza. </w:t>
      </w:r>
    </w:p>
    <w:p w14:paraId="4F130AAD" w14:textId="48A81C6E" w:rsidR="00146FC8" w:rsidRPr="00607330" w:rsidRDefault="00146FC8" w:rsidP="007F4E93">
      <w:pPr>
        <w:autoSpaceDE w:val="0"/>
        <w:autoSpaceDN w:val="0"/>
        <w:adjustRightInd w:val="0"/>
        <w:spacing w:after="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In conformità a quanto previsto dal Regolamento UE/2016/679, il </w:t>
      </w:r>
      <w:r w:rsidR="00B146DA" w:rsidRPr="00607330">
        <w:rPr>
          <w:rFonts w:ascii="Times New Roman" w:hAnsi="Times New Roman" w:cs="Times New Roman"/>
          <w:color w:val="000000"/>
          <w:kern w:val="0"/>
        </w:rPr>
        <w:t>concessionario</w:t>
      </w:r>
      <w:r w:rsidRPr="00607330">
        <w:rPr>
          <w:rFonts w:ascii="Times New Roman" w:hAnsi="Times New Roman" w:cs="Times New Roman"/>
          <w:color w:val="000000"/>
          <w:kern w:val="0"/>
        </w:rPr>
        <w:t xml:space="preserve"> dovrà garantire che i dati personali oggetto di trattamento, verranno gestiti nell’ambito dell’UE e che non sarà effettuato alcun trasferimento degli stessi verso un paese terzo o un’organizzazione internazionale al di fuori dell’UE o dello Spazio Economico Europeo. Nel caso in cui si renda necessario un trasferimento di Dati Personali al di fuori dell’Unione europea per l’erogazione di servizi connessi al Contratto – da intendersi anche come accesso ai dati da un paese terzo – il Fornitore, previa specifica autorizzazione della Committente potrà procedere al trasferimento dei dati da o verso un paese terzo o un’organizzazione internazionale al di fuori dell’Unione europea che sia coperta da una decisione di adeguatezza resa dalla Commissione europea ai sensi dell’art. 45 Regolamento o da altre garanzie adeguate di cui agli artt. 46 e ss. del Regolamento stesso (es. utilizzo delle clausole contrattuali tipo adottate dalla Commissione europea ai sensi dell’art. 46, par. 2, lett. c) del Regolamento, utilizzo delle norme vincolanti d’impresa </w:t>
      </w:r>
      <w:proofErr w:type="spellStart"/>
      <w:r w:rsidRPr="00607330">
        <w:rPr>
          <w:rFonts w:ascii="Times New Roman" w:hAnsi="Times New Roman" w:cs="Times New Roman"/>
          <w:color w:val="000000"/>
          <w:kern w:val="0"/>
        </w:rPr>
        <w:t>Binding</w:t>
      </w:r>
      <w:proofErr w:type="spellEnd"/>
      <w:r w:rsidRPr="00607330">
        <w:rPr>
          <w:rFonts w:ascii="Times New Roman" w:hAnsi="Times New Roman" w:cs="Times New Roman"/>
          <w:color w:val="000000"/>
          <w:kern w:val="0"/>
        </w:rPr>
        <w:t xml:space="preserve"> Corporate </w:t>
      </w:r>
      <w:proofErr w:type="spellStart"/>
      <w:r w:rsidRPr="00607330">
        <w:rPr>
          <w:rFonts w:ascii="Times New Roman" w:hAnsi="Times New Roman" w:cs="Times New Roman"/>
          <w:color w:val="000000"/>
          <w:kern w:val="0"/>
        </w:rPr>
        <w:t>Rules</w:t>
      </w:r>
      <w:proofErr w:type="spellEnd"/>
      <w:r w:rsidRPr="00607330">
        <w:rPr>
          <w:rFonts w:ascii="Times New Roman" w:hAnsi="Times New Roman" w:cs="Times New Roman"/>
          <w:color w:val="000000"/>
          <w:kern w:val="0"/>
        </w:rPr>
        <w:t xml:space="preserve"> - BCR), fatta salva la necessità valutata preventivamente tra le Parti di adottare eventuali misure supplementari per garantire l’efficacia di tali garanzie. Il Fornitore dovrà, inoltre, garantire che le eventuali piattaforme/server su cui transitino i suddetti dati – ivi comprese le infrastrutture deputate alle funzioni di business </w:t>
      </w:r>
      <w:proofErr w:type="spellStart"/>
      <w:r w:rsidRPr="00607330">
        <w:rPr>
          <w:rFonts w:ascii="Times New Roman" w:hAnsi="Times New Roman" w:cs="Times New Roman"/>
          <w:color w:val="000000"/>
          <w:kern w:val="0"/>
        </w:rPr>
        <w:t>continuity</w:t>
      </w:r>
      <w:proofErr w:type="spellEnd"/>
      <w:r w:rsidRPr="00607330">
        <w:rPr>
          <w:rFonts w:ascii="Times New Roman" w:hAnsi="Times New Roman" w:cs="Times New Roman"/>
          <w:color w:val="000000"/>
          <w:kern w:val="0"/>
        </w:rPr>
        <w:t xml:space="preserve"> e di </w:t>
      </w:r>
      <w:proofErr w:type="spellStart"/>
      <w:r w:rsidRPr="00607330">
        <w:rPr>
          <w:rFonts w:ascii="Times New Roman" w:hAnsi="Times New Roman" w:cs="Times New Roman"/>
          <w:color w:val="000000"/>
          <w:kern w:val="0"/>
        </w:rPr>
        <w:t>disaster</w:t>
      </w:r>
      <w:proofErr w:type="spellEnd"/>
      <w:r w:rsidRPr="00607330">
        <w:rPr>
          <w:rFonts w:ascii="Times New Roman" w:hAnsi="Times New Roman" w:cs="Times New Roman"/>
          <w:color w:val="000000"/>
          <w:kern w:val="0"/>
        </w:rPr>
        <w:t xml:space="preserve"> </w:t>
      </w:r>
      <w:proofErr w:type="spellStart"/>
      <w:r w:rsidRPr="00607330">
        <w:rPr>
          <w:rFonts w:ascii="Times New Roman" w:hAnsi="Times New Roman" w:cs="Times New Roman"/>
          <w:color w:val="000000"/>
          <w:kern w:val="0"/>
        </w:rPr>
        <w:t>recovery</w:t>
      </w:r>
      <w:proofErr w:type="spellEnd"/>
      <w:r w:rsidRPr="00607330">
        <w:rPr>
          <w:rFonts w:ascii="Times New Roman" w:hAnsi="Times New Roman" w:cs="Times New Roman"/>
          <w:color w:val="000000"/>
          <w:kern w:val="0"/>
        </w:rPr>
        <w:t xml:space="preserve">, anche se esternalizzate –abbiano sede nell’UE - fatte salve eventuali motivate ragioni di natura normativa o tecnica, che devono essere preventivamente approvate dalla Committente - e che qualunque replica dei dati non sia trasmessa al di fuori della UE o dello Spazio Economico Europeo. </w:t>
      </w:r>
    </w:p>
    <w:p w14:paraId="288D6445" w14:textId="561F6E02" w:rsidR="00146FC8" w:rsidRPr="00607330" w:rsidRDefault="00146FC8" w:rsidP="007F4E93">
      <w:pPr>
        <w:autoSpaceDE w:val="0"/>
        <w:autoSpaceDN w:val="0"/>
        <w:adjustRightInd w:val="0"/>
        <w:spacing w:after="7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Nel caso di servizi di assistenza/manutenzione da remoto il cui espletamento implichi comunque il trasferimento al di fuori dell’UE di tracciati di dati connessi al servizio stesso, gli eventuali dati personali contenuti nel tracciato devono essere opportunamente anonimizzati a cura del </w:t>
      </w:r>
      <w:r w:rsidR="00B146DA" w:rsidRPr="00607330">
        <w:rPr>
          <w:rFonts w:ascii="Times New Roman" w:hAnsi="Times New Roman" w:cs="Times New Roman"/>
          <w:color w:val="000000"/>
          <w:kern w:val="0"/>
        </w:rPr>
        <w:t>concessionario</w:t>
      </w:r>
      <w:r w:rsidRPr="00607330">
        <w:rPr>
          <w:rFonts w:ascii="Times New Roman" w:hAnsi="Times New Roman" w:cs="Times New Roman"/>
          <w:color w:val="000000"/>
          <w:kern w:val="0"/>
        </w:rPr>
        <w:t xml:space="preserve">. </w:t>
      </w:r>
    </w:p>
    <w:p w14:paraId="1E71C74A" w14:textId="0ECE077A" w:rsidR="00D72E40" w:rsidRPr="00D72E40" w:rsidRDefault="00146FC8" w:rsidP="00D72E40">
      <w:pPr>
        <w:autoSpaceDE w:val="0"/>
        <w:autoSpaceDN w:val="0"/>
        <w:adjustRightInd w:val="0"/>
        <w:spacing w:after="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Qualora dovessero risultare trasferimenti di dati extra-UE in assenza delle adeguate misure e garanzie di cui sopra, la Committente diffiderà il Responsabile del trattamento, ai sensi dell’articolo 1454 c.c., all’immediata interruzione del trasferimento di dati non autorizzato. In caso di mancato adeguamento alla diffida, la Committente ne darà comunicazione al Garante della Privacy e potrà, in ragione della gravità della condotta del Fornitore e fatta salva la possibilità di fissare un ulteriore termine per l’adempimento, risolvere il contratto ed escutere la garanzia definitiva, salvo il risarcimento del maggior danno. </w:t>
      </w:r>
      <w:bookmarkStart w:id="0" w:name="_GoBack"/>
      <w:bookmarkEnd w:id="0"/>
    </w:p>
    <w:p w14:paraId="0F1BAEFC" w14:textId="522FC113" w:rsidR="00DD42D6" w:rsidRPr="00607330" w:rsidRDefault="00D72E40" w:rsidP="00DD42D6">
      <w:pPr>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b/>
          <w:bCs/>
          <w:color w:val="000000"/>
          <w:kern w:val="0"/>
        </w:rPr>
        <w:t>ART. 20</w:t>
      </w:r>
      <w:r w:rsidR="00DD42D6" w:rsidRPr="00607330">
        <w:rPr>
          <w:rFonts w:ascii="Times New Roman" w:hAnsi="Times New Roman" w:cs="Times New Roman"/>
          <w:b/>
          <w:bCs/>
          <w:color w:val="000000"/>
          <w:kern w:val="0"/>
        </w:rPr>
        <w:t xml:space="preserve"> - INCOMPATIBILITÀ</w:t>
      </w:r>
    </w:p>
    <w:p w14:paraId="3414C00E" w14:textId="71E4011C" w:rsidR="00DD42D6" w:rsidRPr="00607330" w:rsidRDefault="00DD42D6" w:rsidP="007F4E93">
      <w:pPr>
        <w:autoSpaceDE w:val="0"/>
        <w:autoSpaceDN w:val="0"/>
        <w:adjustRightInd w:val="0"/>
        <w:spacing w:after="7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Il dichiara espressamente ed irrevocabilmente che la conclusione del contratto avviene nel rispetto delle previsioni di cui all’articolo 53, comma 16 </w:t>
      </w:r>
      <w:r w:rsidRPr="00607330">
        <w:rPr>
          <w:rFonts w:ascii="Times New Roman" w:hAnsi="Times New Roman" w:cs="Times New Roman"/>
          <w:i/>
          <w:color w:val="000000"/>
          <w:kern w:val="0"/>
        </w:rPr>
        <w:t>ter</w:t>
      </w:r>
      <w:r w:rsidRPr="00607330">
        <w:rPr>
          <w:rFonts w:ascii="Times New Roman" w:hAnsi="Times New Roman" w:cs="Times New Roman"/>
          <w:color w:val="000000"/>
          <w:kern w:val="0"/>
        </w:rPr>
        <w:t xml:space="preserve">, del </w:t>
      </w:r>
      <w:proofErr w:type="gramStart"/>
      <w:r w:rsidRPr="00607330">
        <w:rPr>
          <w:rFonts w:ascii="Times New Roman" w:hAnsi="Times New Roman" w:cs="Times New Roman"/>
          <w:color w:val="000000"/>
          <w:kern w:val="0"/>
        </w:rPr>
        <w:t>D.Lgs</w:t>
      </w:r>
      <w:proofErr w:type="gramEnd"/>
      <w:r w:rsidRPr="00607330">
        <w:rPr>
          <w:rFonts w:ascii="Times New Roman" w:hAnsi="Times New Roman" w:cs="Times New Roman"/>
          <w:color w:val="000000"/>
          <w:kern w:val="0"/>
        </w:rPr>
        <w:t xml:space="preserve">. n. 165/2001. </w:t>
      </w:r>
    </w:p>
    <w:p w14:paraId="1B18B001" w14:textId="0989FA8E" w:rsidR="00DD42D6" w:rsidRPr="00607330" w:rsidRDefault="00DD42D6" w:rsidP="007F4E93">
      <w:pPr>
        <w:autoSpaceDE w:val="0"/>
        <w:autoSpaceDN w:val="0"/>
        <w:adjustRightInd w:val="0"/>
        <w:spacing w:after="0" w:line="276" w:lineRule="auto"/>
        <w:jc w:val="both"/>
        <w:rPr>
          <w:rFonts w:ascii="Times New Roman" w:hAnsi="Times New Roman" w:cs="Times New Roman"/>
          <w:color w:val="000000"/>
          <w:kern w:val="0"/>
        </w:rPr>
      </w:pPr>
      <w:r w:rsidRPr="00607330">
        <w:rPr>
          <w:rFonts w:ascii="Times New Roman" w:hAnsi="Times New Roman" w:cs="Times New Roman"/>
          <w:color w:val="000000"/>
          <w:kern w:val="0"/>
        </w:rPr>
        <w:t xml:space="preserve">Qualora non risultasse conforme al vero la dichiarazione resa, il concessionario prende atto ed accetta che si applicheranno le conseguenze previste dalla predetta normativa. </w:t>
      </w:r>
    </w:p>
    <w:p w14:paraId="319E8E72" w14:textId="77777777" w:rsidR="003F154A" w:rsidRPr="00607330" w:rsidRDefault="003F154A" w:rsidP="000E0B2D">
      <w:pPr>
        <w:autoSpaceDE w:val="0"/>
        <w:autoSpaceDN w:val="0"/>
        <w:adjustRightInd w:val="0"/>
        <w:spacing w:after="0" w:line="240" w:lineRule="auto"/>
        <w:jc w:val="both"/>
        <w:rPr>
          <w:rFonts w:ascii="Times New Roman" w:hAnsi="Times New Roman" w:cs="Times New Roman"/>
          <w:color w:val="000000"/>
          <w:kern w:val="0"/>
        </w:rPr>
      </w:pPr>
    </w:p>
    <w:p w14:paraId="52BFCACB" w14:textId="31159A4E" w:rsidR="00A82740" w:rsidRPr="00607330" w:rsidRDefault="007F4E93" w:rsidP="000E0B2D">
      <w:pPr>
        <w:autoSpaceDE w:val="0"/>
        <w:autoSpaceDN w:val="0"/>
        <w:adjustRightInd w:val="0"/>
        <w:spacing w:after="0" w:line="240" w:lineRule="auto"/>
        <w:jc w:val="both"/>
        <w:rPr>
          <w:rFonts w:ascii="Times New Roman" w:hAnsi="Times New Roman" w:cs="Times New Roman"/>
          <w:color w:val="000000"/>
          <w:kern w:val="0"/>
        </w:rPr>
      </w:pPr>
      <w:r w:rsidRPr="00607330">
        <w:rPr>
          <w:rFonts w:ascii="Times New Roman" w:hAnsi="Times New Roman" w:cs="Times New Roman"/>
          <w:color w:val="000000"/>
          <w:kern w:val="0"/>
        </w:rPr>
        <w:t>La Committen</w:t>
      </w:r>
      <w:r w:rsidR="00A82740" w:rsidRPr="00607330">
        <w:rPr>
          <w:rFonts w:ascii="Times New Roman" w:hAnsi="Times New Roman" w:cs="Times New Roman"/>
          <w:color w:val="000000"/>
          <w:kern w:val="0"/>
        </w:rPr>
        <w:t>te                                                               L’Impresa</w:t>
      </w:r>
      <w:r w:rsidR="003F154A" w:rsidRPr="00607330">
        <w:rPr>
          <w:rFonts w:ascii="Times New Roman" w:hAnsi="Times New Roman" w:cs="Times New Roman"/>
          <w:color w:val="000000"/>
          <w:kern w:val="0"/>
        </w:rPr>
        <w:t xml:space="preserve"> </w:t>
      </w:r>
    </w:p>
    <w:p w14:paraId="13C57121" w14:textId="1569BCFD" w:rsidR="003F154A" w:rsidRPr="00607330" w:rsidRDefault="00A82740" w:rsidP="00E847BC">
      <w:pPr>
        <w:pStyle w:val="Default"/>
        <w:spacing w:line="276" w:lineRule="auto"/>
        <w:jc w:val="both"/>
        <w:rPr>
          <w:sz w:val="22"/>
          <w:szCs w:val="22"/>
        </w:rPr>
      </w:pPr>
      <w:r w:rsidRPr="00607330">
        <w:rPr>
          <w:sz w:val="22"/>
          <w:szCs w:val="22"/>
        </w:rPr>
        <w:t>Il Direttore del Parco</w:t>
      </w:r>
      <w:r w:rsidR="003F154A" w:rsidRPr="00607330">
        <w:rPr>
          <w:sz w:val="22"/>
          <w:szCs w:val="22"/>
        </w:rPr>
        <w:t xml:space="preserve">                                                       Il legale rappresentante della ditta concessionaria</w:t>
      </w:r>
    </w:p>
    <w:p w14:paraId="4890785E" w14:textId="6B63EF8E" w:rsidR="00A82740" w:rsidRPr="00607330" w:rsidRDefault="00A82740" w:rsidP="00E847BC">
      <w:pPr>
        <w:pStyle w:val="Default"/>
        <w:spacing w:line="276" w:lineRule="auto"/>
        <w:jc w:val="both"/>
        <w:rPr>
          <w:sz w:val="22"/>
          <w:szCs w:val="22"/>
        </w:rPr>
      </w:pPr>
      <w:r w:rsidRPr="00607330">
        <w:rPr>
          <w:sz w:val="22"/>
          <w:szCs w:val="22"/>
        </w:rPr>
        <w:t xml:space="preserve">Arch. Carmelo Bennardo             </w:t>
      </w:r>
      <w:r w:rsidR="00F645D4" w:rsidRPr="00607330">
        <w:rPr>
          <w:sz w:val="22"/>
          <w:szCs w:val="22"/>
        </w:rPr>
        <w:t xml:space="preserve">                     </w:t>
      </w:r>
      <w:r w:rsidR="000E0B2D" w:rsidRPr="00607330">
        <w:rPr>
          <w:sz w:val="22"/>
          <w:szCs w:val="22"/>
        </w:rPr>
        <w:t xml:space="preserve"> </w:t>
      </w:r>
    </w:p>
    <w:sectPr w:rsidR="00A82740" w:rsidRPr="00607330" w:rsidSect="00607330">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E7769"/>
    <w:multiLevelType w:val="hybridMultilevel"/>
    <w:tmpl w:val="AE104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7614B62"/>
    <w:multiLevelType w:val="hybridMultilevel"/>
    <w:tmpl w:val="6F00C4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F7"/>
    <w:rsid w:val="000079E6"/>
    <w:rsid w:val="00023B28"/>
    <w:rsid w:val="000272E2"/>
    <w:rsid w:val="0003314B"/>
    <w:rsid w:val="000504A1"/>
    <w:rsid w:val="00070FC7"/>
    <w:rsid w:val="000760A6"/>
    <w:rsid w:val="000906F4"/>
    <w:rsid w:val="000A77D8"/>
    <w:rsid w:val="000C117D"/>
    <w:rsid w:val="000D586E"/>
    <w:rsid w:val="000E0B2D"/>
    <w:rsid w:val="000F2A8C"/>
    <w:rsid w:val="00124BF6"/>
    <w:rsid w:val="00146FC8"/>
    <w:rsid w:val="00186CCC"/>
    <w:rsid w:val="001945CE"/>
    <w:rsid w:val="001A4457"/>
    <w:rsid w:val="001C2146"/>
    <w:rsid w:val="001F17F7"/>
    <w:rsid w:val="002067E6"/>
    <w:rsid w:val="00211FF1"/>
    <w:rsid w:val="002277EF"/>
    <w:rsid w:val="00257D60"/>
    <w:rsid w:val="002945F8"/>
    <w:rsid w:val="002977FA"/>
    <w:rsid w:val="002A1841"/>
    <w:rsid w:val="002B356F"/>
    <w:rsid w:val="0030103C"/>
    <w:rsid w:val="003049D2"/>
    <w:rsid w:val="003252B1"/>
    <w:rsid w:val="00367DF2"/>
    <w:rsid w:val="003A24C4"/>
    <w:rsid w:val="003C3C5A"/>
    <w:rsid w:val="003D6C30"/>
    <w:rsid w:val="003F154A"/>
    <w:rsid w:val="00400A85"/>
    <w:rsid w:val="00436D18"/>
    <w:rsid w:val="0046061B"/>
    <w:rsid w:val="00473E94"/>
    <w:rsid w:val="004C736B"/>
    <w:rsid w:val="004D2C4B"/>
    <w:rsid w:val="004D3CCB"/>
    <w:rsid w:val="0057650F"/>
    <w:rsid w:val="005C0E92"/>
    <w:rsid w:val="005C6FEF"/>
    <w:rsid w:val="005D7CDB"/>
    <w:rsid w:val="005E2D47"/>
    <w:rsid w:val="005F3197"/>
    <w:rsid w:val="00607330"/>
    <w:rsid w:val="00630C18"/>
    <w:rsid w:val="00640C09"/>
    <w:rsid w:val="006821A7"/>
    <w:rsid w:val="00704A76"/>
    <w:rsid w:val="00737F23"/>
    <w:rsid w:val="00743A88"/>
    <w:rsid w:val="007502DE"/>
    <w:rsid w:val="00752C79"/>
    <w:rsid w:val="007A3C18"/>
    <w:rsid w:val="007A5DAB"/>
    <w:rsid w:val="007D0A00"/>
    <w:rsid w:val="007F22D4"/>
    <w:rsid w:val="007F4E93"/>
    <w:rsid w:val="0082393E"/>
    <w:rsid w:val="00842F88"/>
    <w:rsid w:val="008A384D"/>
    <w:rsid w:val="008C5DA8"/>
    <w:rsid w:val="00903B1E"/>
    <w:rsid w:val="00953CCF"/>
    <w:rsid w:val="00957D53"/>
    <w:rsid w:val="009719E9"/>
    <w:rsid w:val="009A1E0B"/>
    <w:rsid w:val="009B1DED"/>
    <w:rsid w:val="009B2C2C"/>
    <w:rsid w:val="009B563F"/>
    <w:rsid w:val="009F7DD3"/>
    <w:rsid w:val="00A048E9"/>
    <w:rsid w:val="00A06509"/>
    <w:rsid w:val="00A51A3D"/>
    <w:rsid w:val="00A543ED"/>
    <w:rsid w:val="00A82740"/>
    <w:rsid w:val="00B10AED"/>
    <w:rsid w:val="00B146DA"/>
    <w:rsid w:val="00B21048"/>
    <w:rsid w:val="00B44BC6"/>
    <w:rsid w:val="00B74DC8"/>
    <w:rsid w:val="00BB049F"/>
    <w:rsid w:val="00BB2F0D"/>
    <w:rsid w:val="00BD778D"/>
    <w:rsid w:val="00C044ED"/>
    <w:rsid w:val="00C161D0"/>
    <w:rsid w:val="00C52CC2"/>
    <w:rsid w:val="00C74541"/>
    <w:rsid w:val="00CB6FE4"/>
    <w:rsid w:val="00CB7961"/>
    <w:rsid w:val="00CD6FF9"/>
    <w:rsid w:val="00D4595A"/>
    <w:rsid w:val="00D55B45"/>
    <w:rsid w:val="00D62787"/>
    <w:rsid w:val="00D72B04"/>
    <w:rsid w:val="00D72E40"/>
    <w:rsid w:val="00D763CF"/>
    <w:rsid w:val="00D81EB0"/>
    <w:rsid w:val="00DB7DBB"/>
    <w:rsid w:val="00DD42D6"/>
    <w:rsid w:val="00DE2EC4"/>
    <w:rsid w:val="00E54FE8"/>
    <w:rsid w:val="00E847BC"/>
    <w:rsid w:val="00E963A0"/>
    <w:rsid w:val="00E97AAC"/>
    <w:rsid w:val="00E97E63"/>
    <w:rsid w:val="00EC193A"/>
    <w:rsid w:val="00EE79BF"/>
    <w:rsid w:val="00F13291"/>
    <w:rsid w:val="00F17C8C"/>
    <w:rsid w:val="00F22C7F"/>
    <w:rsid w:val="00F42402"/>
    <w:rsid w:val="00F645D4"/>
    <w:rsid w:val="00F93FF8"/>
    <w:rsid w:val="00FB239F"/>
    <w:rsid w:val="00FD24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08E3"/>
  <w15:chartTrackingRefBased/>
  <w15:docId w15:val="{40EDEC91-7026-403F-B8FA-6DE6AE18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F1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F1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F17F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F17F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F17F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F17F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17F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17F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17F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17F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F17F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F17F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F17F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F17F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F17F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17F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17F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17F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1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17F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17F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17F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17F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17F7"/>
    <w:rPr>
      <w:i/>
      <w:iCs/>
      <w:color w:val="404040" w:themeColor="text1" w:themeTint="BF"/>
    </w:rPr>
  </w:style>
  <w:style w:type="paragraph" w:styleId="Paragrafoelenco">
    <w:name w:val="List Paragraph"/>
    <w:basedOn w:val="Normale"/>
    <w:uiPriority w:val="34"/>
    <w:qFormat/>
    <w:rsid w:val="001F17F7"/>
    <w:pPr>
      <w:ind w:left="720"/>
      <w:contextualSpacing/>
    </w:pPr>
  </w:style>
  <w:style w:type="character" w:styleId="Enfasiintensa">
    <w:name w:val="Intense Emphasis"/>
    <w:basedOn w:val="Carpredefinitoparagrafo"/>
    <w:uiPriority w:val="21"/>
    <w:qFormat/>
    <w:rsid w:val="001F17F7"/>
    <w:rPr>
      <w:i/>
      <w:iCs/>
      <w:color w:val="2F5496" w:themeColor="accent1" w:themeShade="BF"/>
    </w:rPr>
  </w:style>
  <w:style w:type="paragraph" w:styleId="Citazioneintensa">
    <w:name w:val="Intense Quote"/>
    <w:basedOn w:val="Normale"/>
    <w:next w:val="Normale"/>
    <w:link w:val="CitazioneintensaCarattere"/>
    <w:uiPriority w:val="30"/>
    <w:qFormat/>
    <w:rsid w:val="001F1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F17F7"/>
    <w:rPr>
      <w:i/>
      <w:iCs/>
      <w:color w:val="2F5496" w:themeColor="accent1" w:themeShade="BF"/>
    </w:rPr>
  </w:style>
  <w:style w:type="character" w:styleId="Riferimentointenso">
    <w:name w:val="Intense Reference"/>
    <w:basedOn w:val="Carpredefinitoparagrafo"/>
    <w:uiPriority w:val="32"/>
    <w:qFormat/>
    <w:rsid w:val="001F17F7"/>
    <w:rPr>
      <w:b/>
      <w:bCs/>
      <w:smallCaps/>
      <w:color w:val="2F5496" w:themeColor="accent1" w:themeShade="BF"/>
      <w:spacing w:val="5"/>
    </w:rPr>
  </w:style>
  <w:style w:type="paragraph" w:customStyle="1" w:styleId="Default">
    <w:name w:val="Default"/>
    <w:rsid w:val="00D72B0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Corpotesto">
    <w:name w:val="Body Text"/>
    <w:basedOn w:val="Normale"/>
    <w:link w:val="CorpotestoCarattere"/>
    <w:uiPriority w:val="1"/>
    <w:qFormat/>
    <w:rsid w:val="00607330"/>
    <w:pPr>
      <w:widowControl w:val="0"/>
      <w:autoSpaceDE w:val="0"/>
      <w:autoSpaceDN w:val="0"/>
      <w:adjustRightInd w:val="0"/>
      <w:spacing w:after="0" w:line="240" w:lineRule="auto"/>
    </w:pPr>
    <w:rPr>
      <w:rFonts w:ascii="Times New Roman" w:eastAsia="Times New Roman" w:hAnsi="Times New Roman" w:cs="Times New Roman"/>
      <w:kern w:val="0"/>
      <w:sz w:val="19"/>
      <w:szCs w:val="19"/>
      <w:lang w:eastAsia="it-IT"/>
      <w14:ligatures w14:val="none"/>
    </w:rPr>
  </w:style>
  <w:style w:type="character" w:customStyle="1" w:styleId="CorpotestoCarattere">
    <w:name w:val="Corpo testo Carattere"/>
    <w:basedOn w:val="Carpredefinitoparagrafo"/>
    <w:link w:val="Corpotesto"/>
    <w:uiPriority w:val="1"/>
    <w:rsid w:val="00607330"/>
    <w:rPr>
      <w:rFonts w:ascii="Times New Roman" w:eastAsia="Times New Roman" w:hAnsi="Times New Roman" w:cs="Times New Roman"/>
      <w:kern w:val="0"/>
      <w:sz w:val="19"/>
      <w:szCs w:val="19"/>
      <w:lang w:eastAsia="it-IT"/>
      <w14:ligatures w14:val="none"/>
    </w:rPr>
  </w:style>
  <w:style w:type="paragraph" w:customStyle="1" w:styleId="TableParagraph">
    <w:name w:val="Table Paragraph"/>
    <w:basedOn w:val="Normale"/>
    <w:uiPriority w:val="1"/>
    <w:qFormat/>
    <w:rsid w:val="00607330"/>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39"/>
    <w:rsid w:val="00607330"/>
    <w:pPr>
      <w:spacing w:after="0" w:line="240" w:lineRule="auto"/>
    </w:pPr>
    <w:rPr>
      <w:rFonts w:ascii="Calibri" w:eastAsia="Times New Roman" w:hAnsi="Calibri" w:cs="Calibri"/>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10</Pages>
  <Words>6763</Words>
  <Characters>38555</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dc:creator>
  <cp:keywords/>
  <dc:description/>
  <cp:lastModifiedBy>Roberta Milazzo</cp:lastModifiedBy>
  <cp:revision>83</cp:revision>
  <dcterms:created xsi:type="dcterms:W3CDTF">2025-11-06T15:10:00Z</dcterms:created>
  <dcterms:modified xsi:type="dcterms:W3CDTF">2026-02-10T12:08:00Z</dcterms:modified>
</cp:coreProperties>
</file>