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Grigliatabella"/>
        <w:tblpPr w:vertAnchor="margin" w:horzAnchor="margin" w:leftFromText="141" w:rightFromText="141" w:tblpX="0" w:tblpY="-570"/>
        <w:tblW w:w="9893"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1978"/>
        <w:gridCol w:w="1979"/>
        <w:gridCol w:w="1978"/>
        <w:gridCol w:w="1979"/>
        <w:gridCol w:w="1979"/>
      </w:tblGrid>
      <w:tr>
        <w:trPr>
          <w:trHeight w:val="2300" w:hRule="atLeast"/>
          <w:cantSplit w:val="true"/>
        </w:trPr>
        <w:tc>
          <w:tcPr>
            <w:tcW w:w="1978" w:type="dxa"/>
            <w:tcBorders>
              <w:top w:val="nil"/>
              <w:start w:val="nil"/>
              <w:bottom w:val="nil"/>
              <w:end w:val="nil"/>
            </w:tcBorders>
          </w:tcPr>
          <w:p>
            <w:pPr>
              <w:pStyle w:val="Normal"/>
              <w:widowControl/>
              <w:spacing w:lineRule="auto" w:line="240" w:before="0" w:after="0"/>
              <w:jc w:val="center"/>
              <w:rPr>
                <w:rFonts w:ascii="Calibri" w:hAnsi="Calibri" w:eastAsia="Calibri" w:cs=""/>
                <w:kern w:val="0"/>
                <w:sz w:val="22"/>
                <w:szCs w:val="22"/>
                <w:lang w:val="it-IT" w:eastAsia="en-US" w:bidi="ar-SA"/>
              </w:rPr>
            </w:pPr>
            <w:r>
              <w:rPr>
                <w:rFonts w:eastAsia="Calibri" w:cs=""/>
                <w:kern w:val="0"/>
                <w:sz w:val="22"/>
                <w:szCs w:val="22"/>
                <w:lang w:val="it-IT" w:eastAsia="en-US" w:bidi="ar-SA"/>
              </w:rPr>
            </w:r>
          </w:p>
          <w:p>
            <w:pPr>
              <w:pStyle w:val="Normal"/>
              <w:widowControl/>
              <w:spacing w:lineRule="auto" w:line="240" w:before="0" w:after="0"/>
              <w:jc w:val="center"/>
              <w:rPr>
                <w:rFonts w:ascii="Calibri" w:hAnsi="Calibri" w:eastAsia="Calibri" w:cs=""/>
                <w:kern w:val="0"/>
                <w:sz w:val="22"/>
                <w:szCs w:val="22"/>
                <w:lang w:val="it-IT" w:eastAsia="en-US" w:bidi="ar-SA"/>
              </w:rPr>
            </w:pPr>
            <w:r>
              <w:rPr>
                <w:rFonts w:eastAsia="Calibri" w:cs=""/>
                <w:kern w:val="0"/>
                <w:sz w:val="22"/>
                <w:szCs w:val="22"/>
                <w:lang w:val="it-IT" w:eastAsia="en-US" w:bidi="ar-SA"/>
              </w:rPr>
              <w:drawing>
                <wp:anchor behindDoc="0" distT="0" distB="0" distL="114300" distR="114300" simplePos="0" locked="0" layoutInCell="1" allowOverlap="1" relativeHeight="4">
                  <wp:simplePos x="0" y="0"/>
                  <wp:positionH relativeFrom="column">
                    <wp:posOffset>274955</wp:posOffset>
                  </wp:positionH>
                  <wp:positionV relativeFrom="paragraph">
                    <wp:posOffset>63500</wp:posOffset>
                  </wp:positionV>
                  <wp:extent cx="579755" cy="821055"/>
                  <wp:effectExtent l="0" t="0" r="0" b="0"/>
                  <wp:wrapTight wrapText="bothSides">
                    <wp:wrapPolygon edited="0">
                      <wp:start x="4966" y="0"/>
                      <wp:lineTo x="4259" y="503"/>
                      <wp:lineTo x="2843" y="7021"/>
                      <wp:lineTo x="-1" y="10029"/>
                      <wp:lineTo x="-1" y="18051"/>
                      <wp:lineTo x="5688" y="21067"/>
                      <wp:lineTo x="9240" y="21067"/>
                      <wp:lineTo x="13501" y="21067"/>
                      <wp:lineTo x="14916" y="21067"/>
                      <wp:lineTo x="20605" y="17051"/>
                      <wp:lineTo x="20605" y="10029"/>
                      <wp:lineTo x="17761" y="7526"/>
                      <wp:lineTo x="16345" y="503"/>
                      <wp:lineTo x="15637" y="0"/>
                      <wp:lineTo x="4966" y="0"/>
                    </wp:wrapPolygon>
                  </wp:wrapTight>
                  <wp:docPr id="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2"/>
                          <pic:cNvPicPr>
                            <a:picLocks noChangeAspect="1" noChangeArrowheads="1"/>
                          </pic:cNvPicPr>
                        </pic:nvPicPr>
                        <pic:blipFill>
                          <a:blip r:embed="rId2"/>
                          <a:stretch>
                            <a:fillRect/>
                          </a:stretch>
                        </pic:blipFill>
                        <pic:spPr bwMode="auto">
                          <a:xfrm>
                            <a:off x="0" y="0"/>
                            <a:ext cx="579755" cy="821055"/>
                          </a:xfrm>
                          <a:prstGeom prst="rect">
                            <a:avLst/>
                          </a:prstGeom>
                          <a:noFill/>
                        </pic:spPr>
                      </pic:pic>
                    </a:graphicData>
                  </a:graphic>
                </wp:anchor>
              </w:drawing>
            </w:r>
          </w:p>
          <w:p>
            <w:pPr>
              <w:pStyle w:val="Normal"/>
              <w:widowControl/>
              <w:spacing w:lineRule="auto" w:line="240" w:before="0" w:after="0"/>
              <w:jc w:val="center"/>
              <w:rPr>
                <w:rFonts w:ascii="Calibri" w:hAnsi="Calibri" w:eastAsia="Calibri" w:cs=""/>
                <w:kern w:val="0"/>
                <w:sz w:val="22"/>
                <w:szCs w:val="22"/>
                <w:lang w:val="it-IT" w:eastAsia="en-US" w:bidi="ar-SA"/>
              </w:rPr>
            </w:pPr>
            <w:r>
              <w:rPr>
                <w:rFonts w:eastAsia="Calibri" w:cs=""/>
                <w:kern w:val="0"/>
                <w:sz w:val="22"/>
                <w:szCs w:val="22"/>
                <w:lang w:val="it-IT" w:eastAsia="en-US" w:bidi="ar-SA"/>
              </w:rPr>
            </w:r>
          </w:p>
          <w:p>
            <w:pPr>
              <w:pStyle w:val="Normal"/>
              <w:widowControl/>
              <w:spacing w:lineRule="auto" w:line="240" w:before="0" w:after="0"/>
              <w:jc w:val="center"/>
              <w:rPr>
                <w:rFonts w:ascii="Calibri" w:hAnsi="Calibri" w:eastAsia="Calibri" w:cs=""/>
                <w:kern w:val="0"/>
                <w:sz w:val="22"/>
                <w:szCs w:val="22"/>
                <w:lang w:val="it-IT" w:eastAsia="en-US" w:bidi="ar-SA"/>
              </w:rPr>
            </w:pPr>
            <w:r>
              <w:rPr>
                <w:rFonts w:eastAsia="Calibri" w:cs=""/>
                <w:kern w:val="0"/>
                <w:sz w:val="22"/>
                <w:szCs w:val="22"/>
                <w:lang w:val="it-IT" w:eastAsia="en-US" w:bidi="ar-SA"/>
              </w:rPr>
            </w:r>
          </w:p>
          <w:p>
            <w:pPr>
              <w:pStyle w:val="Normal"/>
              <w:widowControl/>
              <w:spacing w:lineRule="auto" w:line="240" w:before="0" w:after="0"/>
              <w:jc w:val="center"/>
              <w:rPr>
                <w:rFonts w:ascii="Calibri Light" w:hAnsi="Calibri Light" w:cs="Calibri Light" w:asciiTheme="majorHAnsi" w:cstheme="majorHAnsi" w:hAnsiTheme="majorHAnsi"/>
                <w:b/>
                <w:bCs/>
                <w:sz w:val="16"/>
                <w:szCs w:val="16"/>
              </w:rPr>
            </w:pPr>
            <w:r>
              <w:rPr>
                <w:rFonts w:eastAsia="Calibri" w:cs="Calibri Light" w:cstheme="majorHAnsi" w:ascii="Calibri Light" w:hAnsi="Calibri Light"/>
                <w:b/>
                <w:bCs/>
                <w:kern w:val="0"/>
                <w:sz w:val="16"/>
                <w:szCs w:val="16"/>
                <w:lang w:val="it-IT" w:eastAsia="en-US" w:bidi="ar-SA"/>
              </w:rPr>
            </w:r>
          </w:p>
          <w:p>
            <w:pPr>
              <w:pStyle w:val="Normal"/>
              <w:widowControl/>
              <w:spacing w:lineRule="auto" w:line="240" w:before="0" w:after="0"/>
              <w:jc w:val="center"/>
              <w:rPr>
                <w:rFonts w:ascii="Calibri Light" w:hAnsi="Calibri Light" w:cs="Calibri Light" w:asciiTheme="majorHAnsi" w:cstheme="majorHAnsi" w:hAnsiTheme="majorHAnsi"/>
                <w:b/>
                <w:bCs/>
                <w:sz w:val="16"/>
                <w:szCs w:val="16"/>
              </w:rPr>
            </w:pPr>
            <w:r>
              <w:rPr>
                <w:rFonts w:eastAsia="Calibri" w:cs="Calibri Light" w:ascii="Calibri Light" w:hAnsi="Calibri Light" w:asciiTheme="majorHAnsi" w:cstheme="majorHAnsi" w:hAnsiTheme="majorHAnsi"/>
                <w:b/>
                <w:bCs/>
                <w:kern w:val="0"/>
                <w:sz w:val="16"/>
                <w:szCs w:val="16"/>
                <w:lang w:val="it-IT" w:eastAsia="en-US" w:bidi="ar-SA"/>
              </w:rPr>
              <w:t>COMUNE</w:t>
            </w:r>
          </w:p>
          <w:p>
            <w:pPr>
              <w:pStyle w:val="Normal"/>
              <w:widowControl/>
              <w:spacing w:lineRule="auto" w:line="240" w:before="0" w:after="0"/>
              <w:jc w:val="center"/>
              <w:rPr>
                <w:sz w:val="16"/>
                <w:szCs w:val="16"/>
              </w:rPr>
            </w:pPr>
            <w:r>
              <w:rPr>
                <w:rFonts w:eastAsia="Calibri" w:cs="Calibri Light" w:ascii="Calibri Light" w:hAnsi="Calibri Light" w:asciiTheme="majorHAnsi" w:cstheme="majorHAnsi" w:hAnsiTheme="majorHAnsi"/>
                <w:b/>
                <w:bCs/>
                <w:kern w:val="0"/>
                <w:sz w:val="16"/>
                <w:szCs w:val="16"/>
                <w:lang w:val="it-IT" w:eastAsia="en-US" w:bidi="ar-SA"/>
              </w:rPr>
              <w:t>GUALTIERI SICAMINO’</w:t>
            </w:r>
          </w:p>
        </w:tc>
        <w:tc>
          <w:tcPr>
            <w:tcW w:w="1979" w:type="dxa"/>
            <w:tcBorders>
              <w:top w:val="nil"/>
              <w:start w:val="nil"/>
              <w:bottom w:val="nil"/>
              <w:end w:val="nil"/>
            </w:tcBorders>
          </w:tcPr>
          <w:p>
            <w:pPr>
              <w:pStyle w:val="Normal"/>
              <w:widowControl/>
              <w:spacing w:lineRule="auto" w:line="240" w:before="0" w:after="0"/>
              <w:jc w:val="center"/>
              <w:rPr>
                <w:rFonts w:ascii="Calibri" w:hAnsi="Calibri" w:eastAsia="Calibri" w:cs=""/>
                <w:kern w:val="0"/>
                <w:sz w:val="22"/>
                <w:szCs w:val="22"/>
                <w:lang w:val="it-IT" w:eastAsia="en-US" w:bidi="ar-SA"/>
              </w:rPr>
            </w:pPr>
            <w:r>
              <w:rPr>
                <w:rFonts w:eastAsia="Calibri" w:cs=""/>
                <w:kern w:val="0"/>
                <w:sz w:val="22"/>
                <w:szCs w:val="22"/>
                <w:lang w:val="it-IT" w:eastAsia="en-US" w:bidi="ar-SA"/>
              </w:rPr>
              <w:drawing>
                <wp:anchor behindDoc="0" distT="0" distB="0" distL="114300" distR="114300" simplePos="0" locked="0" layoutInCell="1" allowOverlap="1" relativeHeight="5">
                  <wp:simplePos x="0" y="0"/>
                  <wp:positionH relativeFrom="column">
                    <wp:posOffset>212090</wp:posOffset>
                  </wp:positionH>
                  <wp:positionV relativeFrom="paragraph">
                    <wp:posOffset>274955</wp:posOffset>
                  </wp:positionV>
                  <wp:extent cx="685800" cy="781050"/>
                  <wp:effectExtent l="0" t="0" r="0" b="0"/>
                  <wp:wrapTight wrapText="bothSides">
                    <wp:wrapPolygon edited="0">
                      <wp:start x="-2" y="0"/>
                      <wp:lineTo x="-2" y="21073"/>
                      <wp:lineTo x="21001" y="21073"/>
                      <wp:lineTo x="21001" y="0"/>
                      <wp:lineTo x="-2" y="0"/>
                    </wp:wrapPolygon>
                  </wp:wrapTight>
                  <wp:docPr id="2"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3"/>
                          <pic:cNvPicPr>
                            <a:picLocks noChangeAspect="1" noChangeArrowheads="1"/>
                          </pic:cNvPicPr>
                        </pic:nvPicPr>
                        <pic:blipFill>
                          <a:blip r:embed="rId3"/>
                          <a:stretch>
                            <a:fillRect/>
                          </a:stretch>
                        </pic:blipFill>
                        <pic:spPr bwMode="auto">
                          <a:xfrm>
                            <a:off x="0" y="0"/>
                            <a:ext cx="685800" cy="781050"/>
                          </a:xfrm>
                          <a:prstGeom prst="rect">
                            <a:avLst/>
                          </a:prstGeom>
                          <a:noFill/>
                        </pic:spPr>
                      </pic:pic>
                    </a:graphicData>
                  </a:graphic>
                </wp:anchor>
              </w:drawing>
            </w:r>
          </w:p>
          <w:p>
            <w:pPr>
              <w:pStyle w:val="Normal"/>
              <w:widowControl/>
              <w:spacing w:lineRule="auto" w:line="240" w:before="0" w:after="0"/>
              <w:jc w:val="center"/>
              <w:rPr>
                <w:rFonts w:ascii="Calibri Light" w:hAnsi="Calibri Light" w:cs="Calibri Light" w:asciiTheme="majorHAnsi" w:cstheme="majorHAnsi" w:hAnsiTheme="majorHAnsi"/>
                <w:b/>
                <w:bCs/>
                <w:sz w:val="16"/>
                <w:szCs w:val="16"/>
              </w:rPr>
            </w:pPr>
            <w:r>
              <w:rPr>
                <w:rFonts w:eastAsia="Calibri" w:cs="Calibri Light" w:cstheme="majorHAnsi" w:ascii="Calibri Light" w:hAnsi="Calibri Light"/>
                <w:b/>
                <w:bCs/>
                <w:kern w:val="0"/>
                <w:sz w:val="16"/>
                <w:szCs w:val="16"/>
                <w:lang w:val="it-IT" w:eastAsia="en-US" w:bidi="ar-SA"/>
              </w:rPr>
            </w:r>
          </w:p>
          <w:p>
            <w:pPr>
              <w:pStyle w:val="Normal"/>
              <w:widowControl/>
              <w:spacing w:lineRule="auto" w:line="240" w:before="0" w:after="0"/>
              <w:jc w:val="center"/>
              <w:rPr>
                <w:rFonts w:ascii="Calibri Light" w:hAnsi="Calibri Light" w:cs="Calibri Light" w:asciiTheme="majorHAnsi" w:cstheme="majorHAnsi" w:hAnsiTheme="majorHAnsi"/>
                <w:b/>
                <w:bCs/>
                <w:sz w:val="16"/>
                <w:szCs w:val="16"/>
              </w:rPr>
            </w:pPr>
            <w:r>
              <w:rPr>
                <w:rFonts w:eastAsia="Calibri" w:cs="Calibri Light" w:cstheme="majorHAnsi" w:ascii="Calibri Light" w:hAnsi="Calibri Light"/>
                <w:b/>
                <w:bCs/>
                <w:kern w:val="0"/>
                <w:sz w:val="16"/>
                <w:szCs w:val="16"/>
                <w:lang w:val="it-IT" w:eastAsia="en-US" w:bidi="ar-SA"/>
              </w:rPr>
            </w:r>
          </w:p>
          <w:p>
            <w:pPr>
              <w:pStyle w:val="Normal"/>
              <w:widowControl/>
              <w:spacing w:lineRule="auto" w:line="240" w:before="0" w:after="0"/>
              <w:jc w:val="center"/>
              <w:rPr>
                <w:rFonts w:ascii="Calibri Light" w:hAnsi="Calibri Light" w:cs="Calibri Light" w:asciiTheme="majorHAnsi" w:cstheme="majorHAnsi" w:hAnsiTheme="majorHAnsi"/>
                <w:b/>
                <w:bCs/>
                <w:sz w:val="16"/>
                <w:szCs w:val="16"/>
              </w:rPr>
            </w:pPr>
            <w:r>
              <w:rPr>
                <w:rFonts w:eastAsia="Calibri" w:cs="Calibri Light" w:ascii="Calibri Light" w:hAnsi="Calibri Light" w:asciiTheme="majorHAnsi" w:cstheme="majorHAnsi" w:hAnsiTheme="majorHAnsi"/>
                <w:b/>
                <w:bCs/>
                <w:kern w:val="0"/>
                <w:sz w:val="16"/>
                <w:szCs w:val="16"/>
                <w:lang w:val="it-IT" w:eastAsia="en-US" w:bidi="ar-SA"/>
              </w:rPr>
              <w:t>COMUNE</w:t>
            </w:r>
          </w:p>
          <w:p>
            <w:pPr>
              <w:pStyle w:val="Normal"/>
              <w:widowControl/>
              <w:spacing w:lineRule="auto" w:line="240" w:before="0" w:after="0"/>
              <w:jc w:val="center"/>
              <w:rPr>
                <w:rFonts w:ascii="Calibri" w:hAnsi="Calibri" w:eastAsia="Calibri" w:cs=""/>
                <w:kern w:val="0"/>
                <w:sz w:val="22"/>
                <w:szCs w:val="22"/>
                <w:lang w:val="it-IT" w:eastAsia="en-US" w:bidi="ar-SA"/>
              </w:rPr>
            </w:pPr>
            <w:r>
              <w:rPr>
                <w:rFonts w:eastAsia="Calibri" w:cs="Calibri Light" w:ascii="Calibri Light" w:hAnsi="Calibri Light" w:asciiTheme="majorHAnsi" w:cstheme="majorHAnsi" w:hAnsiTheme="majorHAnsi"/>
                <w:b/>
                <w:bCs/>
                <w:kern w:val="0"/>
                <w:sz w:val="16"/>
                <w:szCs w:val="16"/>
                <w:lang w:val="it-IT" w:eastAsia="en-US" w:bidi="ar-SA"/>
              </w:rPr>
              <w:t>VENETICO</w:t>
            </w:r>
          </w:p>
        </w:tc>
        <w:tc>
          <w:tcPr>
            <w:tcW w:w="1978" w:type="dxa"/>
            <w:tcBorders>
              <w:top w:val="nil"/>
              <w:start w:val="nil"/>
              <w:bottom w:val="nil"/>
              <w:end w:val="nil"/>
            </w:tcBorders>
            <w:vAlign w:val="center"/>
          </w:tcPr>
          <w:p>
            <w:pPr>
              <w:pStyle w:val="Normal"/>
              <w:widowControl/>
              <w:spacing w:lineRule="auto" w:line="240" w:before="0" w:after="0"/>
              <w:jc w:val="center"/>
              <w:rPr>
                <w:rFonts w:ascii="Calibri" w:hAnsi="Calibri" w:eastAsia="Calibri" w:cs=""/>
                <w:kern w:val="0"/>
                <w:sz w:val="22"/>
                <w:szCs w:val="22"/>
                <w:lang w:val="it-IT" w:eastAsia="en-US" w:bidi="ar-SA"/>
              </w:rPr>
            </w:pPr>
            <w:r>
              <w:rPr>
                <w:rFonts w:eastAsia="Calibri" w:cs=""/>
                <w:kern w:val="0"/>
                <w:sz w:val="22"/>
                <w:szCs w:val="22"/>
                <w:lang w:val="it-IT" w:eastAsia="en-US" w:bidi="ar-SA"/>
              </w:rPr>
              <w:drawing>
                <wp:anchor behindDoc="0" distT="0" distB="0" distL="114300" distR="114300" simplePos="0" locked="0" layoutInCell="1" allowOverlap="1" relativeHeight="6">
                  <wp:simplePos x="0" y="0"/>
                  <wp:positionH relativeFrom="column">
                    <wp:posOffset>267970</wp:posOffset>
                  </wp:positionH>
                  <wp:positionV relativeFrom="paragraph">
                    <wp:posOffset>270510</wp:posOffset>
                  </wp:positionV>
                  <wp:extent cx="561975" cy="733425"/>
                  <wp:effectExtent l="0" t="0" r="0" b="0"/>
                  <wp:wrapTight wrapText="bothSides">
                    <wp:wrapPolygon edited="0">
                      <wp:start x="0" y="0"/>
                      <wp:lineTo x="0" y="21316"/>
                      <wp:lineTo x="21233" y="21316"/>
                      <wp:lineTo x="21233" y="0"/>
                      <wp:lineTo x="0" y="0"/>
                    </wp:wrapPolygon>
                  </wp:wrapTight>
                  <wp:docPr id="3"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4"/>
                          <pic:cNvPicPr>
                            <a:picLocks noChangeAspect="1" noChangeArrowheads="1"/>
                          </pic:cNvPicPr>
                        </pic:nvPicPr>
                        <pic:blipFill>
                          <a:blip r:embed="rId4"/>
                          <a:stretch>
                            <a:fillRect/>
                          </a:stretch>
                        </pic:blipFill>
                        <pic:spPr bwMode="auto">
                          <a:xfrm>
                            <a:off x="0" y="0"/>
                            <a:ext cx="561975" cy="733425"/>
                          </a:xfrm>
                          <a:prstGeom prst="rect">
                            <a:avLst/>
                          </a:prstGeom>
                          <a:noFill/>
                        </pic:spPr>
                      </pic:pic>
                    </a:graphicData>
                  </a:graphic>
                </wp:anchor>
              </w:drawing>
            </w:r>
          </w:p>
          <w:p>
            <w:pPr>
              <w:pStyle w:val="Normal"/>
              <w:widowControl/>
              <w:spacing w:lineRule="auto" w:line="240" w:before="0" w:after="0"/>
              <w:jc w:val="center"/>
              <w:rPr>
                <w:rFonts w:ascii="Calibri" w:hAnsi="Calibri" w:eastAsia="Calibri" w:cs=""/>
                <w:kern w:val="0"/>
                <w:sz w:val="22"/>
                <w:szCs w:val="22"/>
                <w:lang w:val="it-IT" w:eastAsia="en-US" w:bidi="ar-SA"/>
              </w:rPr>
            </w:pPr>
            <w:r>
              <w:rPr>
                <w:rFonts w:eastAsia="Calibri" w:cs=""/>
                <w:kern w:val="0"/>
                <w:sz w:val="22"/>
                <w:szCs w:val="22"/>
                <w:lang w:val="it-IT" w:eastAsia="en-US" w:bidi="ar-SA"/>
              </w:rPr>
            </w:r>
          </w:p>
          <w:p>
            <w:pPr>
              <w:pStyle w:val="Normal"/>
              <w:widowControl/>
              <w:spacing w:lineRule="auto" w:line="240" w:before="0" w:after="0"/>
              <w:jc w:val="center"/>
              <w:rPr>
                <w:rFonts w:ascii="Calibri Light" w:hAnsi="Calibri Light" w:cs="Calibri Light" w:asciiTheme="majorHAnsi" w:cstheme="majorHAnsi" w:hAnsiTheme="majorHAnsi"/>
                <w:b/>
                <w:bCs/>
                <w:sz w:val="16"/>
                <w:szCs w:val="16"/>
              </w:rPr>
            </w:pPr>
            <w:r>
              <w:rPr>
                <w:rFonts w:eastAsia="Calibri" w:cs="Calibri Light" w:ascii="Calibri Light" w:hAnsi="Calibri Light" w:asciiTheme="majorHAnsi" w:cstheme="majorHAnsi" w:hAnsiTheme="majorHAnsi"/>
                <w:b/>
                <w:bCs/>
                <w:kern w:val="0"/>
                <w:sz w:val="16"/>
                <w:szCs w:val="16"/>
                <w:lang w:val="it-IT" w:eastAsia="en-US" w:bidi="ar-SA"/>
              </w:rPr>
              <w:t>COMUNE</w:t>
            </w:r>
          </w:p>
          <w:p>
            <w:pPr>
              <w:pStyle w:val="Normal"/>
              <w:widowControl/>
              <w:spacing w:lineRule="auto" w:line="240" w:before="0" w:after="0"/>
              <w:jc w:val="center"/>
              <w:rPr>
                <w:rFonts w:ascii="Calibri" w:hAnsi="Calibri" w:eastAsia="Calibri" w:cs=""/>
                <w:kern w:val="0"/>
                <w:sz w:val="22"/>
                <w:szCs w:val="22"/>
                <w:lang w:val="it-IT" w:eastAsia="en-US" w:bidi="ar-SA"/>
              </w:rPr>
            </w:pPr>
            <w:r>
              <w:rPr>
                <w:rFonts w:eastAsia="Calibri" w:cs="Calibri Light" w:ascii="Calibri Light" w:hAnsi="Calibri Light" w:asciiTheme="majorHAnsi" w:cstheme="majorHAnsi" w:hAnsiTheme="majorHAnsi"/>
                <w:b/>
                <w:bCs/>
                <w:kern w:val="0"/>
                <w:sz w:val="16"/>
                <w:szCs w:val="16"/>
                <w:lang w:val="it-IT" w:eastAsia="en-US" w:bidi="ar-SA"/>
              </w:rPr>
              <w:t>SAN PIER NICETO</w:t>
            </w:r>
          </w:p>
        </w:tc>
        <w:tc>
          <w:tcPr>
            <w:tcW w:w="1979" w:type="dxa"/>
            <w:tcBorders>
              <w:top w:val="nil"/>
              <w:start w:val="nil"/>
              <w:bottom w:val="nil"/>
              <w:end w:val="nil"/>
            </w:tcBorders>
          </w:tcPr>
          <w:p>
            <w:pPr>
              <w:pStyle w:val="Normal"/>
              <w:widowControl/>
              <w:spacing w:lineRule="auto" w:line="240" w:before="0" w:after="0"/>
              <w:jc w:val="center"/>
              <w:rPr>
                <w:rFonts w:ascii="Calibri" w:hAnsi="Calibri" w:eastAsia="Calibri" w:cs=""/>
                <w:kern w:val="0"/>
                <w:sz w:val="22"/>
                <w:szCs w:val="22"/>
                <w:lang w:val="it-IT" w:eastAsia="en-US" w:bidi="ar-SA"/>
              </w:rPr>
            </w:pPr>
            <w:r>
              <w:rPr>
                <w:rFonts w:eastAsia="Calibri" w:cs=""/>
                <w:kern w:val="0"/>
                <w:sz w:val="22"/>
                <w:szCs w:val="22"/>
                <w:lang w:val="it-IT" w:eastAsia="en-US" w:bidi="ar-SA"/>
              </w:rPr>
              <w:drawing>
                <wp:anchor behindDoc="0" distT="0" distB="0" distL="114300" distR="114300" simplePos="0" locked="0" layoutInCell="1" allowOverlap="1" relativeHeight="7">
                  <wp:simplePos x="0" y="0"/>
                  <wp:positionH relativeFrom="column">
                    <wp:posOffset>188595</wp:posOffset>
                  </wp:positionH>
                  <wp:positionV relativeFrom="paragraph">
                    <wp:posOffset>295275</wp:posOffset>
                  </wp:positionV>
                  <wp:extent cx="704850" cy="828675"/>
                  <wp:effectExtent l="0" t="0" r="0" b="0"/>
                  <wp:wrapTight wrapText="bothSides">
                    <wp:wrapPolygon edited="0">
                      <wp:start x="-3" y="0"/>
                      <wp:lineTo x="-3" y="21353"/>
                      <wp:lineTo x="21018" y="21353"/>
                      <wp:lineTo x="21018" y="0"/>
                      <wp:lineTo x="-3" y="0"/>
                    </wp:wrapPolygon>
                  </wp:wrapTight>
                  <wp:docPr id="4"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5"/>
                          <pic:cNvPicPr>
                            <a:picLocks noChangeAspect="1" noChangeArrowheads="1"/>
                          </pic:cNvPicPr>
                        </pic:nvPicPr>
                        <pic:blipFill>
                          <a:blip r:embed="rId5"/>
                          <a:stretch>
                            <a:fillRect/>
                          </a:stretch>
                        </pic:blipFill>
                        <pic:spPr bwMode="auto">
                          <a:xfrm>
                            <a:off x="0" y="0"/>
                            <a:ext cx="704850" cy="828675"/>
                          </a:xfrm>
                          <a:prstGeom prst="rect">
                            <a:avLst/>
                          </a:prstGeom>
                          <a:noFill/>
                        </pic:spPr>
                      </pic:pic>
                    </a:graphicData>
                  </a:graphic>
                </wp:anchor>
              </w:drawing>
            </w:r>
          </w:p>
          <w:p>
            <w:pPr>
              <w:pStyle w:val="Normal"/>
              <w:widowControl/>
              <w:spacing w:lineRule="auto" w:line="240" w:before="0" w:after="0"/>
              <w:jc w:val="center"/>
              <w:rPr>
                <w:rFonts w:ascii="Calibri Light" w:hAnsi="Calibri Light" w:cs="Calibri Light" w:asciiTheme="majorHAnsi" w:cstheme="majorHAnsi" w:hAnsiTheme="majorHAnsi"/>
                <w:b/>
                <w:bCs/>
                <w:sz w:val="16"/>
                <w:szCs w:val="16"/>
              </w:rPr>
            </w:pPr>
            <w:r>
              <w:rPr>
                <w:rFonts w:eastAsia="Calibri" w:cs="Calibri Light" w:cstheme="majorHAnsi" w:ascii="Calibri Light" w:hAnsi="Calibri Light"/>
                <w:b/>
                <w:bCs/>
                <w:kern w:val="0"/>
                <w:sz w:val="16"/>
                <w:szCs w:val="16"/>
                <w:lang w:val="it-IT" w:eastAsia="en-US" w:bidi="ar-SA"/>
              </w:rPr>
            </w:r>
          </w:p>
          <w:p>
            <w:pPr>
              <w:pStyle w:val="Normal"/>
              <w:widowControl/>
              <w:spacing w:lineRule="auto" w:line="240" w:before="0" w:after="0"/>
              <w:jc w:val="center"/>
              <w:rPr>
                <w:rFonts w:ascii="Calibri Light" w:hAnsi="Calibri Light" w:cs="Calibri Light" w:asciiTheme="majorHAnsi" w:cstheme="majorHAnsi" w:hAnsiTheme="majorHAnsi"/>
                <w:b/>
                <w:bCs/>
                <w:sz w:val="16"/>
                <w:szCs w:val="16"/>
              </w:rPr>
            </w:pPr>
            <w:r>
              <w:rPr>
                <w:rFonts w:eastAsia="Calibri" w:cs="Calibri Light" w:cstheme="majorHAnsi" w:ascii="Calibri Light" w:hAnsi="Calibri Light"/>
                <w:b/>
                <w:bCs/>
                <w:kern w:val="0"/>
                <w:sz w:val="16"/>
                <w:szCs w:val="16"/>
                <w:lang w:val="it-IT" w:eastAsia="en-US" w:bidi="ar-SA"/>
              </w:rPr>
            </w:r>
          </w:p>
          <w:p>
            <w:pPr>
              <w:pStyle w:val="Normal"/>
              <w:widowControl/>
              <w:spacing w:lineRule="auto" w:line="240" w:before="0" w:after="0"/>
              <w:jc w:val="center"/>
              <w:rPr>
                <w:rFonts w:ascii="Calibri Light" w:hAnsi="Calibri Light" w:cs="Calibri Light" w:asciiTheme="majorHAnsi" w:cstheme="majorHAnsi" w:hAnsiTheme="majorHAnsi"/>
                <w:b/>
                <w:bCs/>
                <w:sz w:val="16"/>
                <w:szCs w:val="16"/>
              </w:rPr>
            </w:pPr>
            <w:r>
              <w:rPr>
                <w:rFonts w:eastAsia="Calibri" w:cs="Calibri Light" w:ascii="Calibri Light" w:hAnsi="Calibri Light" w:asciiTheme="majorHAnsi" w:cstheme="majorHAnsi" w:hAnsiTheme="majorHAnsi"/>
                <w:b/>
                <w:bCs/>
                <w:kern w:val="0"/>
                <w:sz w:val="16"/>
                <w:szCs w:val="16"/>
                <w:lang w:val="it-IT" w:eastAsia="en-US" w:bidi="ar-SA"/>
              </w:rPr>
              <w:t>COMUNE</w:t>
            </w:r>
          </w:p>
          <w:p>
            <w:pPr>
              <w:pStyle w:val="Normal"/>
              <w:widowControl/>
              <w:spacing w:lineRule="auto" w:line="240" w:before="0" w:after="0"/>
              <w:jc w:val="center"/>
              <w:rPr>
                <w:rFonts w:ascii="Calibri" w:hAnsi="Calibri" w:eastAsia="Calibri" w:cs=""/>
                <w:kern w:val="0"/>
                <w:sz w:val="22"/>
                <w:szCs w:val="22"/>
                <w:lang w:val="it-IT" w:eastAsia="en-US" w:bidi="ar-SA"/>
              </w:rPr>
            </w:pPr>
            <w:r>
              <w:rPr>
                <w:rFonts w:eastAsia="Calibri" w:cs="Calibri Light" w:ascii="Calibri Light" w:hAnsi="Calibri Light" w:asciiTheme="majorHAnsi" w:cstheme="majorHAnsi" w:hAnsiTheme="majorHAnsi"/>
                <w:b/>
                <w:bCs/>
                <w:kern w:val="0"/>
                <w:sz w:val="16"/>
                <w:szCs w:val="16"/>
                <w:lang w:val="it-IT" w:eastAsia="en-US" w:bidi="ar-SA"/>
              </w:rPr>
              <w:t>PACE DEL MELA</w:t>
            </w:r>
          </w:p>
        </w:tc>
        <w:tc>
          <w:tcPr>
            <w:tcW w:w="1979" w:type="dxa"/>
            <w:tcBorders>
              <w:top w:val="nil"/>
              <w:start w:val="nil"/>
              <w:bottom w:val="nil"/>
              <w:end w:val="nil"/>
            </w:tcBorders>
          </w:tcPr>
          <w:p>
            <w:pPr>
              <w:pStyle w:val="Normal"/>
              <w:widowControl/>
              <w:spacing w:lineRule="auto" w:line="240" w:before="0" w:after="0"/>
              <w:jc w:val="center"/>
              <w:rPr>
                <w:rFonts w:ascii="Calibri" w:hAnsi="Calibri" w:eastAsia="Calibri" w:cs=""/>
                <w:kern w:val="0"/>
                <w:sz w:val="22"/>
                <w:szCs w:val="22"/>
                <w:lang w:val="it-IT" w:eastAsia="en-US" w:bidi="ar-SA"/>
              </w:rPr>
            </w:pPr>
            <w:r>
              <w:rPr>
                <w:rFonts w:eastAsia="Calibri" w:cs=""/>
                <w:kern w:val="0"/>
                <w:sz w:val="22"/>
                <w:szCs w:val="22"/>
                <w:lang w:val="it-IT" w:eastAsia="en-US" w:bidi="ar-SA"/>
              </w:rPr>
            </w:r>
          </w:p>
          <w:p>
            <w:pPr>
              <w:pStyle w:val="Normal"/>
              <w:widowControl/>
              <w:spacing w:lineRule="auto" w:line="240" w:before="0" w:after="0"/>
              <w:jc w:val="center"/>
              <w:rPr>
                <w:rFonts w:ascii="Calibri Light" w:hAnsi="Calibri Light" w:cs="Calibri Light" w:asciiTheme="majorHAnsi" w:cstheme="majorHAnsi" w:hAnsiTheme="majorHAnsi"/>
                <w:b/>
                <w:bCs/>
                <w:sz w:val="16"/>
                <w:szCs w:val="16"/>
              </w:rPr>
            </w:pPr>
            <w:r>
              <w:rPr>
                <w:rFonts w:eastAsia="Calibri" w:cs="Calibri Light" w:cstheme="majorHAnsi" w:ascii="Calibri Light" w:hAnsi="Calibri Light"/>
                <w:b/>
                <w:bCs/>
                <w:kern w:val="0"/>
                <w:sz w:val="16"/>
                <w:szCs w:val="16"/>
                <w:lang w:val="it-IT" w:eastAsia="en-US" w:bidi="ar-SA"/>
              </w:rPr>
              <w:drawing>
                <wp:anchor behindDoc="0" distT="0" distB="0" distL="114300" distR="114300" simplePos="0" locked="0" layoutInCell="1" allowOverlap="1" relativeHeight="3">
                  <wp:simplePos x="0" y="0"/>
                  <wp:positionH relativeFrom="column">
                    <wp:posOffset>194310</wp:posOffset>
                  </wp:positionH>
                  <wp:positionV relativeFrom="paragraph">
                    <wp:posOffset>143510</wp:posOffset>
                  </wp:positionV>
                  <wp:extent cx="1009650" cy="771525"/>
                  <wp:effectExtent l="0" t="0" r="0" b="0"/>
                  <wp:wrapTight wrapText="bothSides">
                    <wp:wrapPolygon edited="0">
                      <wp:start x="-2" y="0"/>
                      <wp:lineTo x="-2" y="21336"/>
                      <wp:lineTo x="21195" y="21336"/>
                      <wp:lineTo x="21195" y="0"/>
                      <wp:lineTo x="-2" y="0"/>
                    </wp:wrapPolygon>
                  </wp:wrapTight>
                  <wp:docPr id="5" name="Immagine 1" descr="Immagine che contiene clipart, illustrazion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1" descr="Immagine che contiene clipart, illustrazione&#10;&#10;Descrizione generata automaticamente"/>
                          <pic:cNvPicPr>
                            <a:picLocks noChangeAspect="1" noChangeArrowheads="1"/>
                          </pic:cNvPicPr>
                        </pic:nvPicPr>
                        <pic:blipFill>
                          <a:blip r:embed="rId6"/>
                          <a:stretch>
                            <a:fillRect/>
                          </a:stretch>
                        </pic:blipFill>
                        <pic:spPr bwMode="auto">
                          <a:xfrm>
                            <a:off x="0" y="0"/>
                            <a:ext cx="1009650" cy="771525"/>
                          </a:xfrm>
                          <a:prstGeom prst="rect">
                            <a:avLst/>
                          </a:prstGeom>
                          <a:noFill/>
                        </pic:spPr>
                      </pic:pic>
                    </a:graphicData>
                  </a:graphic>
                </wp:anchor>
              </w:drawing>
            </w:r>
          </w:p>
          <w:p>
            <w:pPr>
              <w:pStyle w:val="Normal"/>
              <w:widowControl/>
              <w:spacing w:lineRule="auto" w:line="240" w:before="0" w:after="0"/>
              <w:jc w:val="center"/>
              <w:rPr>
                <w:rFonts w:ascii="Calibri Light" w:hAnsi="Calibri Light" w:cs="Calibri Light" w:asciiTheme="majorHAnsi" w:cstheme="majorHAnsi" w:hAnsiTheme="majorHAnsi"/>
                <w:b/>
                <w:bCs/>
                <w:sz w:val="16"/>
                <w:szCs w:val="16"/>
              </w:rPr>
            </w:pPr>
            <w:r>
              <w:rPr>
                <w:rFonts w:eastAsia="Calibri" w:cs="Calibri Light" w:ascii="Calibri Light" w:hAnsi="Calibri Light" w:asciiTheme="majorHAnsi" w:cstheme="majorHAnsi" w:hAnsiTheme="majorHAnsi"/>
                <w:b/>
                <w:bCs/>
                <w:kern w:val="0"/>
                <w:sz w:val="16"/>
                <w:szCs w:val="16"/>
                <w:lang w:val="it-IT" w:eastAsia="en-US" w:bidi="ar-SA"/>
              </w:rPr>
              <w:t xml:space="preserve">     </w:t>
            </w:r>
            <w:r>
              <w:rPr>
                <w:rFonts w:eastAsia="Calibri" w:cs="Calibri Light" w:ascii="Calibri Light" w:hAnsi="Calibri Light" w:asciiTheme="majorHAnsi" w:cstheme="majorHAnsi" w:hAnsiTheme="majorHAnsi"/>
                <w:b/>
                <w:bCs/>
                <w:kern w:val="0"/>
                <w:sz w:val="16"/>
                <w:szCs w:val="16"/>
                <w:lang w:val="it-IT" w:eastAsia="en-US" w:bidi="ar-SA"/>
              </w:rPr>
              <w:t>COMUNE</w:t>
            </w:r>
          </w:p>
          <w:p>
            <w:pPr>
              <w:pStyle w:val="Normal"/>
              <w:widowControl/>
              <w:spacing w:lineRule="auto" w:line="240" w:before="0" w:after="0"/>
              <w:jc w:val="center"/>
              <w:rPr>
                <w:rFonts w:ascii="Calibri" w:hAnsi="Calibri" w:eastAsia="Calibri" w:cs=""/>
                <w:kern w:val="0"/>
                <w:sz w:val="22"/>
                <w:szCs w:val="22"/>
                <w:lang w:val="it-IT" w:eastAsia="en-US" w:bidi="ar-SA"/>
              </w:rPr>
            </w:pPr>
            <w:r>
              <w:rPr>
                <w:rFonts w:eastAsia="Calibri" w:cs="Calibri Light" w:ascii="Calibri Light" w:hAnsi="Calibri Light" w:asciiTheme="majorHAnsi" w:cstheme="majorHAnsi" w:hAnsiTheme="majorHAnsi"/>
                <w:b/>
                <w:bCs/>
                <w:kern w:val="0"/>
                <w:sz w:val="16"/>
                <w:szCs w:val="16"/>
                <w:lang w:val="it-IT" w:eastAsia="en-US" w:bidi="ar-SA"/>
              </w:rPr>
              <w:t xml:space="preserve">      </w:t>
            </w:r>
            <w:r>
              <w:rPr>
                <w:rFonts w:eastAsia="Calibri" w:cs="Calibri Light" w:ascii="Calibri Light" w:hAnsi="Calibri Light" w:asciiTheme="majorHAnsi" w:cstheme="majorHAnsi" w:hAnsiTheme="majorHAnsi"/>
                <w:b/>
                <w:bCs/>
                <w:kern w:val="0"/>
                <w:sz w:val="16"/>
                <w:szCs w:val="16"/>
                <w:lang w:val="it-IT" w:eastAsia="en-US" w:bidi="ar-SA"/>
              </w:rPr>
              <w:t>SANTA LUCIA DEL MELA</w:t>
            </w:r>
          </w:p>
        </w:tc>
      </w:tr>
    </w:tbl>
    <w:p>
      <w:pPr>
        <w:pStyle w:val="PlainText"/>
        <w:jc w:val="center"/>
        <w:rPr>
          <w:rFonts w:ascii="Times New Roman" w:hAnsi="Times New Roman" w:eastAsia="MS Mincho"/>
          <w:b/>
          <w:sz w:val="36"/>
          <w:szCs w:val="36"/>
        </w:rPr>
      </w:pPr>
      <w:r>
        <w:rPr>
          <w:rFonts w:eastAsia="MS Mincho" w:ascii="Times New Roman" w:hAnsi="Times New Roman"/>
          <w:b/>
          <w:sz w:val="36"/>
          <w:szCs w:val="36"/>
        </w:rPr>
      </w:r>
    </w:p>
    <w:p>
      <w:pPr>
        <w:pStyle w:val="PlainText"/>
        <w:jc w:val="center"/>
        <w:rPr>
          <w:rFonts w:ascii="Times New Roman" w:hAnsi="Times New Roman" w:eastAsia="MS Mincho"/>
          <w:b/>
          <w:sz w:val="36"/>
          <w:szCs w:val="36"/>
        </w:rPr>
      </w:pPr>
      <w:r>
        <w:rPr>
          <w:rFonts w:eastAsia="MS Mincho" w:ascii="Times New Roman" w:hAnsi="Times New Roman"/>
          <w:b/>
          <w:sz w:val="36"/>
          <w:szCs w:val="36"/>
        </w:rPr>
      </w:r>
    </w:p>
    <w:p>
      <w:pPr>
        <w:pStyle w:val="PlainText"/>
        <w:jc w:val="center"/>
        <w:rPr>
          <w:rFonts w:ascii="Times New Roman" w:hAnsi="Times New Roman" w:eastAsia="MS Mincho"/>
          <w:b/>
          <w:sz w:val="36"/>
          <w:szCs w:val="36"/>
        </w:rPr>
      </w:pPr>
      <w:r>
        <w:rPr>
          <w:rFonts w:eastAsia="MS Mincho" w:ascii="Times New Roman" w:hAnsi="Times New Roman"/>
          <w:b/>
          <w:sz w:val="36"/>
          <w:szCs w:val="36"/>
        </w:rPr>
      </w:r>
    </w:p>
    <w:p>
      <w:pPr>
        <w:pStyle w:val="PlainText"/>
        <w:jc w:val="center"/>
        <w:rPr>
          <w:rFonts w:ascii="Times New Roman" w:hAnsi="Times New Roman" w:eastAsia="MS Mincho"/>
          <w:b/>
          <w:sz w:val="36"/>
          <w:szCs w:val="36"/>
        </w:rPr>
      </w:pPr>
      <w:r>
        <w:rPr>
          <w:rFonts w:eastAsia="MS Mincho" w:ascii="Times New Roman" w:hAnsi="Times New Roman"/>
          <w:b/>
          <w:sz w:val="36"/>
          <w:szCs w:val="36"/>
        </w:rPr>
      </w:r>
    </w:p>
    <w:p>
      <w:pPr>
        <w:pStyle w:val="PlainText"/>
        <w:jc w:val="center"/>
        <w:rPr>
          <w:rFonts w:ascii="Times New Roman" w:hAnsi="Times New Roman" w:eastAsia="MS Mincho"/>
          <w:b/>
          <w:sz w:val="36"/>
          <w:szCs w:val="36"/>
        </w:rPr>
      </w:pPr>
      <w:r>
        <w:rPr>
          <w:rFonts w:eastAsia="MS Mincho" w:ascii="Times New Roman" w:hAnsi="Times New Roman"/>
          <w:b/>
          <w:sz w:val="36"/>
          <w:szCs w:val="36"/>
        </w:rPr>
      </w:r>
    </w:p>
    <w:p>
      <w:pPr>
        <w:pStyle w:val="PlainText"/>
        <w:jc w:val="center"/>
        <w:rPr>
          <w:rFonts w:ascii="Times New Roman" w:hAnsi="Times New Roman" w:eastAsia="MS Mincho"/>
          <w:b/>
          <w:sz w:val="36"/>
          <w:szCs w:val="36"/>
        </w:rPr>
      </w:pPr>
      <w:r>
        <w:rPr>
          <w:rFonts w:eastAsia="MS Mincho" w:ascii="Times New Roman" w:hAnsi="Times New Roman"/>
          <w:b/>
          <w:sz w:val="36"/>
          <w:szCs w:val="36"/>
        </w:rPr>
        <w:t>UNIONE DEI COMUNI</w:t>
      </w:r>
    </w:p>
    <w:p>
      <w:pPr>
        <w:pStyle w:val="PlainText"/>
        <w:tabs>
          <w:tab w:val="clear" w:pos="708"/>
          <w:tab w:val="center" w:pos="5233" w:leader="none"/>
          <w:tab w:val="right" w:pos="10466" w:leader="none"/>
        </w:tabs>
        <w:rPr>
          <w:rFonts w:eastAsia="MS Mincho"/>
          <w:b/>
          <w:i/>
          <w:i/>
          <w:sz w:val="32"/>
          <w:szCs w:val="32"/>
        </w:rPr>
      </w:pPr>
      <w:r>
        <w:rPr>
          <w:rFonts w:eastAsia="MS Mincho" w:ascii="Times New Roman" w:hAnsi="Times New Roman"/>
          <w:b/>
          <w:i/>
          <w:sz w:val="32"/>
          <w:szCs w:val="32"/>
        </w:rPr>
        <w:tab/>
        <w:t>“TRINACRIA DEL TIRRENO</w:t>
      </w:r>
      <w:r>
        <w:rPr>
          <w:rFonts w:eastAsia="MS Mincho"/>
          <w:b/>
          <w:i/>
          <w:sz w:val="32"/>
          <w:szCs w:val="32"/>
        </w:rPr>
        <w:t xml:space="preserve">” </w:t>
        <w:tab/>
      </w:r>
    </w:p>
    <w:p>
      <w:pPr>
        <w:pStyle w:val="Normal"/>
        <w:jc w:val="center"/>
        <w:rPr>
          <w:sz w:val="18"/>
          <w:szCs w:val="18"/>
        </w:rPr>
      </w:pPr>
      <w:r>
        <w:rPr>
          <w:sz w:val="18"/>
          <w:szCs w:val="18"/>
        </w:rPr>
        <w:t>P.IVA 03099890836</w:t>
      </w:r>
    </w:p>
    <w:p>
      <w:pPr>
        <w:pStyle w:val="PlainText"/>
        <w:jc w:val="center"/>
        <w:rPr>
          <w:rFonts w:eastAsia="MS Mincho"/>
          <w:lang w:val="it-IT"/>
        </w:rPr>
      </w:pPr>
      <w:r>
        <w:rPr>
          <w:rFonts w:eastAsia="MS Mincho"/>
        </w:rPr>
        <w:t>SEDE TURNARIA</w:t>
      </w:r>
      <w:r>
        <w:rPr>
          <w:rFonts w:eastAsia="MS Mincho"/>
          <w:lang w:val="it-IT"/>
        </w:rPr>
        <w:t xml:space="preserve"> PIAZZA DUOMO DI GUALTIERI,1 </w:t>
      </w:r>
      <w:r>
        <w:rPr>
          <w:rFonts w:eastAsia="MS Mincho"/>
        </w:rPr>
        <w:t xml:space="preserve"> –  </w:t>
      </w:r>
      <w:r>
        <w:rPr>
          <w:rFonts w:eastAsia="MS Mincho"/>
          <w:lang w:val="it-IT"/>
        </w:rPr>
        <w:t>98040 GUALTIERI SICAMINO’</w:t>
      </w:r>
    </w:p>
    <w:p>
      <w:pPr>
        <w:pStyle w:val="PlainText"/>
        <w:jc w:val="center"/>
        <w:rPr>
          <w:rFonts w:eastAsia="MS Mincho"/>
          <w:b/>
          <w:i/>
          <w:i/>
          <w:sz w:val="22"/>
          <w:szCs w:val="22"/>
        </w:rPr>
      </w:pPr>
      <w:r>
        <w:rPr>
          <w:rFonts w:eastAsia="MS Mincho"/>
          <w:b/>
          <w:i/>
          <w:sz w:val="22"/>
          <w:szCs w:val="22"/>
        </w:rPr>
        <w:t xml:space="preserve">Città Metropolitana di Messina </w:t>
      </w:r>
    </w:p>
    <w:p>
      <w:pPr>
        <w:pStyle w:val="PlainText"/>
        <w:jc w:val="center"/>
        <w:rPr>
          <w:rFonts w:eastAsia="MS Mincho"/>
          <w:b/>
          <w:i/>
          <w:i/>
          <w:sz w:val="22"/>
          <w:szCs w:val="22"/>
        </w:rPr>
      </w:pPr>
      <w:r>
        <w:rPr>
          <w:rFonts w:eastAsia="MS Mincho"/>
          <w:b/>
          <w:i/>
          <w:sz w:val="22"/>
          <w:szCs w:val="22"/>
        </w:rPr>
      </w:r>
    </w:p>
    <w:p>
      <w:pPr>
        <w:pStyle w:val="Normal"/>
        <w:ind w:start="-1"/>
        <w:jc w:val="center"/>
        <w:rPr>
          <w:rFonts w:ascii="Calibri" w:hAnsi="Calibri"/>
          <w:b/>
          <w:sz w:val="28"/>
        </w:rPr>
      </w:pPr>
      <w:bookmarkStart w:id="0" w:name="_Hlk218850592"/>
      <w:bookmarkEnd w:id="0"/>
      <w:r>
        <w:rPr>
          <w:rFonts w:ascii="Calibri" w:hAnsi="Calibri"/>
          <w:b/>
          <w:sz w:val="28"/>
        </w:rPr>
        <w:t>Area Amministrativa e Finanziaria</w:t>
      </w:r>
    </w:p>
    <w:p>
      <w:pPr>
        <w:pStyle w:val="BodyText"/>
        <w:ind w:start="0"/>
        <w:jc w:val="start"/>
        <w:rPr>
          <w:rFonts w:ascii="Calibri" w:hAnsi="Calibri"/>
          <w:b/>
          <w:sz w:val="28"/>
        </w:rPr>
      </w:pPr>
      <w:r>
        <w:rPr>
          <w:rFonts w:ascii="Calibri" w:hAnsi="Calibri"/>
          <w:b/>
          <w:sz w:val="28"/>
        </w:rPr>
      </w:r>
    </w:p>
    <w:p>
      <w:pPr>
        <w:pStyle w:val="Normal"/>
        <w:keepNext w:val="true"/>
        <w:keepLines/>
        <w:numPr>
          <w:ilvl w:val="0"/>
          <w:numId w:val="0"/>
        </w:numPr>
        <w:spacing w:lineRule="exact" w:line="220" w:before="0" w:after="246"/>
        <w:ind w:start="800"/>
        <w:outlineLvl w:val="0"/>
        <w:rPr>
          <w:rFonts w:cs="Calibri" w:cstheme="minorHAnsi"/>
          <w:b/>
          <w:bCs/>
          <w:sz w:val="24"/>
          <w:szCs w:val="24"/>
          <w:lang w:val="it-IT"/>
        </w:rPr>
      </w:pPr>
      <w:bookmarkStart w:id="1" w:name="bookmark1"/>
      <w:r>
        <w:rPr>
          <w:rFonts w:cs="Calibri" w:cstheme="minorHAnsi"/>
          <w:b/>
          <w:bCs/>
          <w:sz w:val="24"/>
          <w:szCs w:val="24"/>
          <w:lang w:val="it-IT"/>
        </w:rPr>
        <w:t>Avviso pubblico per la nomina del Revisore dei conti per il triennio 2026/2028</w:t>
      </w:r>
      <w:bookmarkEnd w:id="1"/>
    </w:p>
    <w:p>
      <w:pPr>
        <w:pStyle w:val="Normal"/>
        <w:spacing w:lineRule="exact" w:line="274" w:before="0" w:after="177"/>
        <w:ind w:start="40" w:end="20"/>
        <w:jc w:val="both"/>
        <w:rPr>
          <w:rFonts w:cs="Calibri" w:cstheme="minorHAnsi"/>
          <w:lang w:val="it-IT"/>
        </w:rPr>
      </w:pPr>
      <w:r>
        <w:rPr>
          <w:rFonts w:cs="Calibri" w:cstheme="minorHAnsi"/>
          <w:b/>
          <w:bCs/>
          <w:shd w:fill="FFFFFF" w:val="clear"/>
          <w:lang w:val="it-IT"/>
        </w:rPr>
        <w:t>PREMESSO CHE:</w:t>
      </w:r>
    </w:p>
    <w:p>
      <w:pPr>
        <w:pStyle w:val="Normal"/>
        <w:spacing w:lineRule="exact" w:line="274" w:before="0" w:after="177"/>
        <w:ind w:start="40" w:end="20"/>
        <w:jc w:val="both"/>
        <w:rPr>
          <w:rFonts w:cs="Calibri" w:cstheme="minorHAnsi"/>
          <w:lang w:val="it-IT"/>
        </w:rPr>
      </w:pPr>
      <w:r>
        <w:rPr>
          <w:rFonts w:cs="Calibri" w:cstheme="minorHAnsi"/>
          <w:lang w:val="it-IT"/>
        </w:rPr>
        <w:t>con la deliberazione del Consiglio, comunale n. 06 del 28/11/2022,  è stato nominato il revisore dei conti dell’Unione dei Comuni “Trinacria del Tirreno” per il triennio 2022/2025, il cui incarico è scaduto il 28/11/2025, esclusa la c.d.</w:t>
      </w:r>
      <w:r>
        <w:rPr>
          <w:rFonts w:cs="Calibri" w:cstheme="minorHAnsi"/>
          <w:i/>
          <w:iCs/>
          <w:shd w:fill="FFFFFF" w:val="clear"/>
          <w:lang w:val="it-IT"/>
        </w:rPr>
        <w:t xml:space="preserve"> "prorogatio"</w:t>
      </w:r>
      <w:r>
        <w:rPr>
          <w:rFonts w:cs="Calibri" w:cstheme="minorHAnsi"/>
          <w:lang w:val="it-IT"/>
        </w:rPr>
        <w:t xml:space="preserve"> prevista dall'art. 235 del D. Lgs. n. 267 del 18/08/2000 e dal comma 1 art. 1/bis della L.R. n. 22 del 28/03/1995;</w:t>
      </w:r>
    </w:p>
    <w:p>
      <w:pPr>
        <w:pStyle w:val="Normal"/>
        <w:spacing w:lineRule="exact" w:line="277" w:before="0" w:after="226"/>
        <w:ind w:start="40" w:end="20"/>
        <w:jc w:val="both"/>
        <w:rPr>
          <w:rFonts w:cs="Calibri" w:cstheme="minorHAnsi"/>
          <w:lang w:val="it-IT"/>
        </w:rPr>
      </w:pPr>
      <w:r>
        <w:rPr>
          <w:rFonts w:cs="Calibri" w:cstheme="minorHAnsi"/>
          <w:b/>
          <w:bCs/>
          <w:shd w:fill="FFFFFF" w:val="clear"/>
          <w:lang w:val="it-IT"/>
        </w:rPr>
        <w:t>ATTESA</w:t>
      </w:r>
      <w:r>
        <w:rPr>
          <w:rFonts w:cs="Calibri" w:cstheme="minorHAnsi"/>
          <w:lang w:val="it-IT"/>
        </w:rPr>
        <w:t xml:space="preserve"> la necessità di procedere alla nomina del revisore unico dei conti per il triennio 2026/2028 con decorrenza dalla data di esecutività dell'atto di nomina, procedendo alla pubblicazione di un avviso secondo i termini di legge;</w:t>
      </w:r>
    </w:p>
    <w:p>
      <w:pPr>
        <w:pStyle w:val="Normal"/>
        <w:spacing w:lineRule="exact" w:line="220" w:before="0" w:after="235"/>
        <w:ind w:start="40"/>
        <w:jc w:val="both"/>
        <w:rPr>
          <w:rFonts w:cs="Calibri" w:cstheme="minorHAnsi"/>
          <w:lang w:val="it-IT"/>
        </w:rPr>
      </w:pPr>
      <w:r>
        <w:rPr>
          <w:rFonts w:cs="Calibri" w:cstheme="minorHAnsi"/>
          <w:b/>
          <w:bCs/>
          <w:shd w:fill="FFFFFF" w:val="clear"/>
          <w:lang w:val="it-IT"/>
        </w:rPr>
        <w:t>VISTA</w:t>
      </w:r>
      <w:r>
        <w:rPr>
          <w:rFonts w:cs="Calibri" w:cstheme="minorHAnsi"/>
          <w:lang w:val="it-IT"/>
        </w:rPr>
        <w:t xml:space="preserve"> la Circolare del Ministero dell'Interno n. 7/FL del 05/04/2012;</w:t>
      </w:r>
    </w:p>
    <w:p>
      <w:pPr>
        <w:pStyle w:val="Normal"/>
        <w:spacing w:lineRule="exact" w:line="274" w:before="0" w:after="186"/>
        <w:ind w:start="40" w:end="20"/>
        <w:jc w:val="both"/>
        <w:rPr>
          <w:rFonts w:cs="Calibri" w:cstheme="minorHAnsi"/>
          <w:lang w:val="it-IT"/>
        </w:rPr>
      </w:pPr>
      <w:r>
        <w:rPr>
          <w:rFonts w:cs="Calibri" w:cstheme="minorHAnsi"/>
          <w:b/>
          <w:bCs/>
          <w:shd w:fill="FFFFFF" w:val="clear"/>
          <w:lang w:val="it-IT"/>
        </w:rPr>
        <w:t>VISTO</w:t>
      </w:r>
      <w:r>
        <w:rPr>
          <w:rFonts w:cs="Calibri" w:cstheme="minorHAnsi"/>
          <w:lang w:val="it-IT"/>
        </w:rPr>
        <w:t xml:space="preserve"> l'art. 10 della L.R. n. 3 del 17/03/2016, sostituito dall'art. 6 della L.R. n. 17 dell'11/08/2016 e integrato dall'art. 39, comma 1 della L.R. n. 16 dell'11/08/2017 e modificato dall’art. 8 comma 2 della L.R. n. 6 del 04/03/2021;</w:t>
      </w:r>
    </w:p>
    <w:p>
      <w:pPr>
        <w:pStyle w:val="Normal"/>
        <w:spacing w:lineRule="exact" w:line="266" w:before="0" w:after="186"/>
        <w:ind w:start="40" w:end="20"/>
        <w:jc w:val="both"/>
        <w:rPr>
          <w:rFonts w:cs="Calibri" w:cstheme="minorHAnsi"/>
          <w:lang w:val="it-IT"/>
        </w:rPr>
      </w:pPr>
      <w:r>
        <w:rPr>
          <w:rFonts w:cs="Calibri" w:cstheme="minorHAnsi"/>
          <w:b/>
          <w:bCs/>
          <w:shd w:fill="FFFFFF" w:val="clear"/>
          <w:lang w:val="it-IT"/>
        </w:rPr>
        <w:t>VISTO</w:t>
      </w:r>
      <w:r>
        <w:rPr>
          <w:rFonts w:cs="Calibri" w:cstheme="minorHAnsi"/>
          <w:lang w:val="it-IT"/>
        </w:rPr>
        <w:t xml:space="preserve"> il D. Lgs. n. 139 del 28/06/2005, in relazione all'unificazione degli Albi dei dottori commercialisti e degli esperti contabili, che all'art. 78 stabilisce che a decorrere dal 01/01/2008 gli "iscritti negli albi dei dottori commercialisti" e gli "iscritti negli albi dei ragionieri e periti commerciali" si intendono riferiti agli iscritti nella sezione "A commercialisti dell'Albo";</w:t>
      </w:r>
    </w:p>
    <w:p>
      <w:pPr>
        <w:pStyle w:val="Normal"/>
        <w:spacing w:lineRule="exact" w:line="259" w:before="0" w:after="0"/>
        <w:ind w:start="40" w:end="20"/>
        <w:jc w:val="both"/>
        <w:rPr>
          <w:rFonts w:cs="Calibri" w:cstheme="minorHAnsi"/>
          <w:lang w:val="it-IT"/>
        </w:rPr>
      </w:pPr>
      <w:r>
        <w:rPr>
          <w:rFonts w:cs="Calibri" w:cstheme="minorHAnsi"/>
          <w:b/>
          <w:bCs/>
          <w:shd w:fill="FFFFFF" w:val="clear"/>
          <w:lang w:val="it-IT"/>
        </w:rPr>
        <w:t>VISTO</w:t>
      </w:r>
      <w:r>
        <w:rPr>
          <w:rFonts w:cs="Calibri" w:cstheme="minorHAnsi"/>
          <w:lang w:val="it-IT"/>
        </w:rPr>
        <w:t xml:space="preserve"> il testo coordinato della L.R. n. 3 del 17/03/2016, Disposizioni programmatiche e correttive per l'anno 2016. Legge di stabilità regionale, che, all'art. 10, Organo di revisione economico- finanziaria degli enti locali stabilisce che:</w:t>
      </w:r>
    </w:p>
    <w:p>
      <w:pPr>
        <w:pStyle w:val="Normal"/>
        <w:spacing w:lineRule="exact" w:line="259" w:before="0" w:after="0"/>
        <w:ind w:start="40" w:end="20"/>
        <w:jc w:val="both"/>
        <w:rPr>
          <w:rFonts w:cs="Calibri" w:cstheme="minorHAnsi"/>
          <w:lang w:val="it-IT"/>
        </w:rPr>
      </w:pPr>
      <w:r>
        <w:rPr>
          <w:rFonts w:cs="Calibri" w:cstheme="minorHAnsi"/>
          <w:lang w:val="it-IT"/>
        </w:rPr>
        <w:t>"1. Negli enti locali della Regione la revisione economico-finanziaria è svolta da un collegio di revisori dei conti, composto da tre membri, scelto con le modalità di cui al presente articolo. Nei comuni con popolazione fino a 5.000 abitanti e nelle unioni di comuni la revisione economico- finanziaria è svolta da un solo revisore dei conti.</w:t>
      </w:r>
    </w:p>
    <w:p>
      <w:pPr>
        <w:pStyle w:val="Normal"/>
        <w:spacing w:lineRule="exact" w:line="259" w:before="0" w:after="0"/>
        <w:ind w:start="40" w:end="20"/>
        <w:jc w:val="both"/>
        <w:rPr>
          <w:rFonts w:cs="Calibri" w:cstheme="minorHAnsi"/>
          <w:lang w:val="it-IT"/>
        </w:rPr>
      </w:pPr>
      <w:r>
        <w:rPr>
          <w:rFonts w:cs="Calibri" w:cstheme="minorHAnsi"/>
          <w:lang w:val="it-IT"/>
        </w:rPr>
        <w:t>2. In conformità alle disposizioni di cui all'articolo 16, comma 25, del decreto legge 13 agosto 2011, ri. 138, convertito, con modificazioni, dalla legge 14 settembre 2011, n. 148, i revisori dei conti degli enti locali sono scelti mediante estrazione a sorte tra i professionisti residenti in Sicilia, iscritti nel registro dei revisori legali di cui al decreto legislativo 27 gennaio 2010, n. 39, nonché tra gli iscritti all'ordine dei dottori commercialisti e degli esperti contabili, che abbiano richiesto di partecipare alla procedura di scelta dell'organo di revisione dell'ente locale e siano in possesso dei seguenti requisiti:</w:t>
      </w:r>
    </w:p>
    <w:p>
      <w:pPr>
        <w:pStyle w:val="Normal"/>
        <w:spacing w:lineRule="exact" w:line="259" w:before="0" w:after="0"/>
        <w:ind w:start="40"/>
        <w:jc w:val="both"/>
        <w:rPr>
          <w:rFonts w:cs="Calibri" w:cstheme="minorHAnsi"/>
          <w:lang w:val="it-IT"/>
        </w:rPr>
      </w:pPr>
      <w:r>
        <w:rPr>
          <w:rFonts w:cs="Calibri" w:cstheme="minorHAnsi"/>
          <w:lang w:val="it-IT"/>
        </w:rPr>
        <w:t>a) fascia 1 - comuni con popolazione fino a 5.000 abitanti:</w:t>
      </w:r>
    </w:p>
    <w:p>
      <w:pPr>
        <w:pStyle w:val="Normal"/>
        <w:numPr>
          <w:ilvl w:val="0"/>
          <w:numId w:val="1"/>
        </w:numPr>
        <w:tabs>
          <w:tab w:val="clear" w:pos="708"/>
          <w:tab w:val="left" w:pos="396" w:leader="none"/>
        </w:tabs>
        <w:spacing w:lineRule="exact" w:line="263" w:before="0" w:after="0"/>
        <w:ind w:start="40" w:end="20"/>
        <w:jc w:val="both"/>
        <w:rPr>
          <w:rFonts w:cs="Calibri" w:cstheme="minorHAnsi"/>
          <w:lang w:val="it-IT"/>
        </w:rPr>
      </w:pPr>
      <w:r>
        <w:rPr>
          <w:rFonts w:cs="Calibri" w:cstheme="minorHAnsi"/>
          <w:lang w:val="it-IT"/>
        </w:rPr>
        <w:t>iscrizione da almeno due anni nel registro dei revisori legali o all'ordine dei dottori commercialisti e degli esperti contabili;</w:t>
      </w:r>
    </w:p>
    <w:p>
      <w:pPr>
        <w:pStyle w:val="Normal"/>
        <w:numPr>
          <w:ilvl w:val="0"/>
          <w:numId w:val="1"/>
        </w:numPr>
        <w:tabs>
          <w:tab w:val="clear" w:pos="708"/>
          <w:tab w:val="left" w:pos="296" w:leader="none"/>
        </w:tabs>
        <w:spacing w:lineRule="exact" w:line="259" w:before="0" w:after="180"/>
        <w:ind w:start="40" w:end="20"/>
        <w:jc w:val="both"/>
        <w:rPr>
          <w:rFonts w:cs="Calibri" w:cstheme="minorHAnsi"/>
          <w:lang w:val="it-IT"/>
        </w:rPr>
      </w:pPr>
      <w:r>
        <w:rPr>
          <w:rFonts w:cs="Calibri" w:cstheme="minorHAnsi"/>
          <w:lang w:val="it-IT"/>
        </w:rPr>
        <w:t>conseguimento, nell'anno precedente, di almeno 10 crediti formativi per avere partecipato a corsi e/o seminari formativi in materia di contabilità pubblica e gestione economica e finanziaria degli enti territoriali";</w:t>
      </w:r>
    </w:p>
    <w:p>
      <w:pPr>
        <w:pStyle w:val="Normal"/>
        <w:spacing w:lineRule="exact" w:line="259" w:before="0" w:after="0"/>
        <w:ind w:start="40" w:end="20"/>
        <w:jc w:val="both"/>
        <w:rPr>
          <w:rFonts w:cs="Calibri" w:cstheme="minorHAnsi"/>
          <w:lang w:val="it-IT"/>
        </w:rPr>
      </w:pPr>
      <w:r>
        <w:rPr>
          <w:rFonts w:cs="Calibri" w:cstheme="minorHAnsi"/>
          <w:b/>
          <w:bCs/>
          <w:i/>
          <w:iCs/>
          <w:shd w:fill="FFFFFF" w:val="clear"/>
          <w:lang w:val="it-IT"/>
        </w:rPr>
        <w:t>VISTO</w:t>
      </w:r>
      <w:r>
        <w:rPr>
          <w:rFonts w:cs="Calibri" w:cstheme="minorHAnsi"/>
          <w:i/>
          <w:iCs/>
          <w:shd w:fill="FFFFFF" w:val="clear"/>
          <w:lang w:val="it-IT"/>
        </w:rPr>
        <w:t xml:space="preserve"> l'art. 10, comma 7 della L.R. n. 3 del 17/03/2016, nel testo oggi vigente, a seguito delle modifiche operate dall’art. 8, comma 2 della L.R. n. 06del 04/03/2021 che prevede che </w:t>
      </w:r>
      <w:r>
        <w:rPr>
          <w:rFonts w:cs="Calibri" w:cstheme="minorHAnsi"/>
          <w:lang w:val="it-IT"/>
        </w:rPr>
        <w:t>"ciascun revisore non può assumere più di quattro incarichi. Tale incompatibilità va dichiarata all'atto della presentazione nella domanda dì partecipazione alla procedura di scelta dell'organo di revisione dell'ente locale";</w:t>
      </w:r>
    </w:p>
    <w:p>
      <w:pPr>
        <w:pStyle w:val="Normal"/>
        <w:spacing w:lineRule="exact" w:line="259" w:before="0" w:after="0"/>
        <w:ind w:start="40" w:end="20"/>
        <w:jc w:val="both"/>
        <w:rPr>
          <w:rFonts w:cs="Calibri" w:cstheme="minorHAnsi"/>
          <w:lang w:val="it-IT"/>
        </w:rPr>
      </w:pPr>
      <w:r>
        <w:rPr>
          <w:rFonts w:cs="Calibri" w:cstheme="minorHAnsi"/>
          <w:lang w:val="it-IT"/>
        </w:rPr>
      </w:r>
    </w:p>
    <w:p>
      <w:pPr>
        <w:pStyle w:val="Normal"/>
        <w:keepNext w:val="true"/>
        <w:keepLines/>
        <w:numPr>
          <w:ilvl w:val="0"/>
          <w:numId w:val="0"/>
        </w:numPr>
        <w:spacing w:lineRule="exact" w:line="220" w:before="0" w:after="0"/>
        <w:ind w:start="40"/>
        <w:jc w:val="both"/>
        <w:outlineLvl w:val="0"/>
        <w:rPr>
          <w:rFonts w:cs="Calibri" w:cstheme="minorHAnsi"/>
          <w:b/>
          <w:bCs/>
          <w:lang w:val="it-IT"/>
        </w:rPr>
      </w:pPr>
      <w:bookmarkStart w:id="2" w:name="bookmark2"/>
      <w:r>
        <w:rPr>
          <w:rFonts w:cs="Calibri" w:cstheme="minorHAnsi"/>
          <w:b/>
          <w:bCs/>
          <w:lang w:val="it-IT"/>
        </w:rPr>
        <w:t>VISTI:</w:t>
      </w:r>
      <w:bookmarkEnd w:id="2"/>
    </w:p>
    <w:p>
      <w:pPr>
        <w:pStyle w:val="Normal"/>
        <w:numPr>
          <w:ilvl w:val="0"/>
          <w:numId w:val="2"/>
        </w:numPr>
        <w:tabs>
          <w:tab w:val="clear" w:pos="708"/>
          <w:tab w:val="left" w:pos="157" w:leader="none"/>
        </w:tabs>
        <w:spacing w:lineRule="exact" w:line="266" w:before="0" w:after="0"/>
        <w:ind w:start="20"/>
        <w:jc w:val="both"/>
        <w:rPr>
          <w:rFonts w:cs="Calibri" w:cstheme="minorHAnsi"/>
          <w:lang w:val="it-IT"/>
        </w:rPr>
      </w:pPr>
      <w:r>
        <w:rPr>
          <w:rFonts w:cs="Calibri" w:cstheme="minorHAnsi"/>
          <w:i/>
          <w:iCs/>
          <w:shd w:fill="FFFFFF" w:val="clear"/>
          <w:lang w:val="it-IT"/>
        </w:rPr>
        <w:t>la legge n. 132 del 13/05/1997, recante</w:t>
      </w:r>
      <w:r>
        <w:rPr>
          <w:rFonts w:cs="Calibri" w:cstheme="minorHAnsi"/>
          <w:lang w:val="it-IT"/>
        </w:rPr>
        <w:t xml:space="preserve"> "Nuove norme in materia di revisori contabili";</w:t>
      </w:r>
    </w:p>
    <w:p>
      <w:pPr>
        <w:pStyle w:val="Normal"/>
        <w:numPr>
          <w:ilvl w:val="0"/>
          <w:numId w:val="2"/>
        </w:numPr>
        <w:tabs>
          <w:tab w:val="clear" w:pos="708"/>
          <w:tab w:val="left" w:pos="200" w:leader="none"/>
        </w:tabs>
        <w:spacing w:lineRule="exact" w:line="266" w:before="0" w:after="0"/>
        <w:ind w:start="20" w:end="20"/>
        <w:jc w:val="both"/>
        <w:rPr>
          <w:rFonts w:cs="Calibri" w:cstheme="minorHAnsi"/>
          <w:lang w:val="it-IT"/>
        </w:rPr>
      </w:pPr>
      <w:r>
        <w:rPr>
          <w:rFonts w:cs="Calibri" w:cstheme="minorHAnsi"/>
          <w:i/>
          <w:iCs/>
          <w:shd w:fill="FFFFFF" w:val="clear"/>
          <w:lang w:val="it-IT"/>
        </w:rPr>
        <w:t>il D.M. n. 475 del 25/09/1997</w:t>
      </w:r>
      <w:r>
        <w:rPr>
          <w:rFonts w:cs="Calibri" w:cstheme="minorHAnsi"/>
          <w:lang w:val="it-IT"/>
        </w:rPr>
        <w:t xml:space="preserve"> "Regolamento recante norme per la determinazione dei limiti massimi del compenso spettante ai Revisori dei Conti degli enti locali";</w:t>
      </w:r>
    </w:p>
    <w:p>
      <w:pPr>
        <w:pStyle w:val="Normal"/>
        <w:numPr>
          <w:ilvl w:val="0"/>
          <w:numId w:val="2"/>
        </w:numPr>
        <w:tabs>
          <w:tab w:val="clear" w:pos="708"/>
          <w:tab w:val="left" w:pos="168" w:leader="none"/>
        </w:tabs>
        <w:spacing w:lineRule="exact" w:line="266" w:before="0" w:after="0"/>
        <w:ind w:start="20" w:end="20"/>
        <w:jc w:val="both"/>
        <w:rPr>
          <w:rFonts w:cs="Calibri" w:cstheme="minorHAnsi"/>
          <w:lang w:val="it-IT"/>
        </w:rPr>
      </w:pPr>
      <w:r>
        <w:rPr>
          <w:rFonts w:cs="Calibri" w:cstheme="minorHAnsi"/>
          <w:i/>
          <w:iCs/>
          <w:shd w:fill="FFFFFF" w:val="clear"/>
          <w:lang w:val="it-IT"/>
        </w:rPr>
        <w:t>il D.M. 20/5/2005</w:t>
      </w:r>
      <w:r>
        <w:rPr>
          <w:rFonts w:cs="Calibri" w:cstheme="minorHAnsi"/>
          <w:lang w:val="it-IT"/>
        </w:rPr>
        <w:t xml:space="preserve"> "Aggiornamento dei limiti massimi del compenso spettante ai revisori dei conti degli enti locali";</w:t>
      </w:r>
    </w:p>
    <w:p>
      <w:pPr>
        <w:pStyle w:val="Normal"/>
        <w:numPr>
          <w:ilvl w:val="0"/>
          <w:numId w:val="2"/>
        </w:numPr>
        <w:tabs>
          <w:tab w:val="clear" w:pos="708"/>
          <w:tab w:val="left" w:pos="164" w:leader="none"/>
        </w:tabs>
        <w:spacing w:lineRule="exact" w:line="266" w:before="0" w:after="0"/>
        <w:ind w:start="20"/>
        <w:jc w:val="both"/>
        <w:rPr>
          <w:rFonts w:cs="Calibri" w:cstheme="minorHAnsi"/>
          <w:lang w:val="it-IT"/>
        </w:rPr>
      </w:pPr>
      <w:r>
        <w:rPr>
          <w:rFonts w:cs="Calibri" w:cstheme="minorHAnsi"/>
          <w:lang w:val="it-IT"/>
        </w:rPr>
        <w:t>il D. Lgs. n. 267 del 18/08/2000;</w:t>
      </w:r>
    </w:p>
    <w:p>
      <w:pPr>
        <w:pStyle w:val="Normal"/>
        <w:numPr>
          <w:ilvl w:val="0"/>
          <w:numId w:val="2"/>
        </w:numPr>
        <w:tabs>
          <w:tab w:val="clear" w:pos="708"/>
          <w:tab w:val="left" w:pos="193" w:leader="none"/>
        </w:tabs>
        <w:spacing w:lineRule="exact" w:line="277" w:before="0" w:after="0"/>
        <w:ind w:start="20" w:end="20"/>
        <w:jc w:val="both"/>
        <w:rPr>
          <w:rFonts w:cs="Calibri" w:cstheme="minorHAnsi"/>
          <w:lang w:val="it-IT"/>
        </w:rPr>
      </w:pPr>
      <w:r>
        <w:rPr>
          <w:rFonts w:cs="Calibri" w:cstheme="minorHAnsi"/>
          <w:i/>
          <w:iCs/>
          <w:shd w:fill="FFFFFF" w:val="clear"/>
          <w:lang w:val="it-IT"/>
        </w:rPr>
        <w:t>il D. Lgs. n. 39 del 27/01/2010, come modificato e integrato dal D. Lgs. n. 135 del 17/07/2016, recante</w:t>
      </w:r>
      <w:r>
        <w:rPr>
          <w:rFonts w:cs="Calibri" w:cstheme="minorHAnsi"/>
          <w:lang w:val="it-IT"/>
        </w:rPr>
        <w:t xml:space="preserve"> "Attuazione della direttiva 2006/43/CEE, relativa alle revisioni legali dei conti annuali e dei conti consolidati, che modifica le direttive 78/660/CEE e 83/349/CEE, e che abroga la direttiva 84/253/CEE";</w:t>
      </w:r>
    </w:p>
    <w:p>
      <w:pPr>
        <w:pStyle w:val="Normal"/>
        <w:numPr>
          <w:ilvl w:val="0"/>
          <w:numId w:val="2"/>
        </w:numPr>
        <w:tabs>
          <w:tab w:val="clear" w:pos="708"/>
          <w:tab w:val="left" w:pos="182" w:leader="none"/>
        </w:tabs>
        <w:spacing w:lineRule="exact" w:line="266" w:before="0" w:after="0"/>
        <w:ind w:start="20" w:end="20"/>
        <w:jc w:val="both"/>
        <w:rPr>
          <w:rFonts w:cs="Calibri" w:cstheme="minorHAnsi"/>
          <w:lang w:val="it-IT"/>
        </w:rPr>
      </w:pPr>
      <w:r>
        <w:rPr>
          <w:rFonts w:cs="Calibri" w:cstheme="minorHAnsi"/>
          <w:lang w:val="it-IT"/>
        </w:rPr>
        <w:t>il D. Lgs. n. 118 del 23/06/2011, come integrato e modificato dal D. Lgs. n. 126 del 10/08/2014, recante "Disposizioni in materia di armonizzazione dei sistemi contabili e degli schemi di bilancio delle Regioni, degli enti locali e dei loro organismi, a norma degli articoli n. 1 e 2 della legge n. 42 del 5/05/2009", e successive modifiche e integrazioni;</w:t>
      </w:r>
    </w:p>
    <w:p>
      <w:pPr>
        <w:pStyle w:val="Normal"/>
        <w:numPr>
          <w:ilvl w:val="0"/>
          <w:numId w:val="2"/>
        </w:numPr>
        <w:tabs>
          <w:tab w:val="clear" w:pos="708"/>
          <w:tab w:val="left" w:pos="164" w:leader="none"/>
        </w:tabs>
        <w:spacing w:lineRule="exact" w:line="266" w:before="0" w:after="0"/>
        <w:ind w:start="20" w:end="20"/>
        <w:jc w:val="both"/>
        <w:rPr>
          <w:rFonts w:cs="Calibri" w:cstheme="minorHAnsi"/>
          <w:lang w:val="it-IT"/>
        </w:rPr>
      </w:pPr>
      <w:r>
        <w:rPr>
          <w:rFonts w:cs="Calibri" w:cstheme="minorHAnsi"/>
          <w:lang w:val="it-IT"/>
        </w:rPr>
        <w:t>l'art. 68 comma 5 della l.r. n. 21 del 12/08/2014 e s.m.i. inerente norme in materia di trasparenza e pubblicità dell'attività amministrativa;</w:t>
      </w:r>
    </w:p>
    <w:p>
      <w:pPr>
        <w:pStyle w:val="Normal"/>
        <w:numPr>
          <w:ilvl w:val="0"/>
          <w:numId w:val="2"/>
        </w:numPr>
        <w:tabs>
          <w:tab w:val="clear" w:pos="708"/>
          <w:tab w:val="left" w:pos="171" w:leader="none"/>
        </w:tabs>
        <w:spacing w:lineRule="exact" w:line="288" w:before="0" w:after="0"/>
        <w:ind w:start="20" w:end="20"/>
        <w:jc w:val="both"/>
        <w:rPr>
          <w:rFonts w:cs="Calibri" w:cstheme="minorHAnsi"/>
          <w:lang w:val="it-IT"/>
        </w:rPr>
      </w:pPr>
      <w:r>
        <w:rPr>
          <w:rFonts w:cs="Calibri" w:cstheme="minorHAnsi"/>
          <w:lang w:val="it-IT"/>
        </w:rPr>
        <w:t>l'art. 11 della l.r. n. 3 del 13/01/2015, che disciplina l'applicazione dei principi contabili e schemi di bilancio;</w:t>
      </w:r>
    </w:p>
    <w:p>
      <w:pPr>
        <w:pStyle w:val="Normal"/>
        <w:numPr>
          <w:ilvl w:val="0"/>
          <w:numId w:val="2"/>
        </w:numPr>
        <w:tabs>
          <w:tab w:val="clear" w:pos="708"/>
          <w:tab w:val="left" w:pos="171" w:leader="none"/>
        </w:tabs>
        <w:spacing w:lineRule="exact" w:line="259" w:before="0" w:after="0"/>
        <w:ind w:start="20" w:end="20"/>
        <w:jc w:val="both"/>
        <w:rPr>
          <w:rFonts w:cs="Calibri" w:cstheme="minorHAnsi"/>
          <w:lang w:val="it-IT"/>
        </w:rPr>
      </w:pPr>
      <w:r>
        <w:rPr>
          <w:rFonts w:cs="Calibri" w:cstheme="minorHAnsi"/>
          <w:lang w:val="it-IT"/>
        </w:rPr>
        <w:t>l'art. 2 della l.r. n. 32 del 31/12/2015, con il quale, in applicazione di quanto previsto dall'art. 79 del D. Lgs. n. 118/2011 e s.m.i. e fino all'emanazione delle norme di attuazione dello Statuto regionale richiamata dall'art. 11, comma 1, della l.r. n. 3 del 13/01/2015, continuano ad applicarsi all'Amministrazione regionale le disposizioni di cui all'art. 11, commi 7, 8 e 13. della medesima l.r. n. 3/2015;</w:t>
      </w:r>
    </w:p>
    <w:p>
      <w:pPr>
        <w:pStyle w:val="Normal"/>
        <w:numPr>
          <w:ilvl w:val="0"/>
          <w:numId w:val="2"/>
        </w:numPr>
        <w:tabs>
          <w:tab w:val="clear" w:pos="708"/>
          <w:tab w:val="left" w:pos="193" w:leader="none"/>
        </w:tabs>
        <w:spacing w:lineRule="exact" w:line="259" w:before="0" w:after="0"/>
        <w:ind w:start="20" w:end="20"/>
        <w:jc w:val="both"/>
        <w:rPr>
          <w:rFonts w:cs="Calibri" w:cstheme="minorHAnsi"/>
          <w:lang w:val="it-IT"/>
        </w:rPr>
      </w:pPr>
      <w:r>
        <w:rPr>
          <w:rFonts w:cs="Calibri" w:cstheme="minorHAnsi"/>
          <w:i/>
          <w:iCs/>
          <w:shd w:fill="FFFFFF" w:val="clear"/>
          <w:lang w:val="it-IT"/>
        </w:rPr>
        <w:t>il D.M. 21/12/2018,</w:t>
      </w:r>
      <w:r>
        <w:rPr>
          <w:rFonts w:cs="Calibri" w:cstheme="minorHAnsi"/>
          <w:lang w:val="it-IT"/>
        </w:rPr>
        <w:t xml:space="preserve"> "Aggiornamento dei limiti massimi del compenso base spettante ai revisori dei conti in relazione alla classe demografica e alle spese dì funzionamento e di investimento degli enti locali"</w:t>
      </w:r>
      <w:r>
        <w:rPr>
          <w:rFonts w:cs="Calibri" w:cstheme="minorHAnsi"/>
          <w:i/>
          <w:iCs/>
          <w:shd w:fill="FFFFFF" w:val="clear"/>
          <w:lang w:val="it-IT"/>
        </w:rPr>
        <w:t xml:space="preserve"> pubblicato nella G.U. n. 3 del 04/01/2019;</w:t>
      </w:r>
    </w:p>
    <w:p>
      <w:pPr>
        <w:pStyle w:val="Normal"/>
        <w:numPr>
          <w:ilvl w:val="0"/>
          <w:numId w:val="2"/>
        </w:numPr>
        <w:tabs>
          <w:tab w:val="clear" w:pos="708"/>
          <w:tab w:val="left" w:pos="157" w:leader="none"/>
        </w:tabs>
        <w:spacing w:lineRule="exact" w:line="259" w:before="0" w:after="231"/>
        <w:ind w:start="20"/>
        <w:jc w:val="both"/>
        <w:rPr>
          <w:rFonts w:cs="Calibri" w:cstheme="minorHAnsi"/>
          <w:lang w:val="it-IT"/>
        </w:rPr>
      </w:pPr>
      <w:r>
        <w:rPr>
          <w:rFonts w:cs="Calibri" w:cstheme="minorHAnsi"/>
          <w:lang w:val="it-IT"/>
        </w:rPr>
        <w:t>il Regolamento di contabilità;</w:t>
      </w:r>
    </w:p>
    <w:p>
      <w:pPr>
        <w:pStyle w:val="Normal"/>
        <w:spacing w:lineRule="exact" w:line="270" w:before="0" w:after="246"/>
        <w:ind w:start="20" w:end="20"/>
        <w:jc w:val="both"/>
        <w:rPr>
          <w:rFonts w:cs="Calibri" w:cstheme="minorHAnsi"/>
          <w:lang w:val="it-IT"/>
        </w:rPr>
      </w:pPr>
      <w:r>
        <w:rPr>
          <w:rFonts w:cs="Calibri" w:cstheme="minorHAnsi"/>
          <w:b/>
          <w:bCs/>
          <w:lang w:val="it-IT"/>
        </w:rPr>
        <w:t>CONSIDERATO</w:t>
      </w:r>
      <w:r>
        <w:rPr>
          <w:rFonts w:cs="Calibri" w:cstheme="minorHAnsi"/>
          <w:lang w:val="it-IT"/>
        </w:rPr>
        <w:t xml:space="preserve"> che la nomina del revisore unico dei conti è di esclusiva competenza del consiglio dell’Unione;</w:t>
      </w:r>
    </w:p>
    <w:p>
      <w:pPr>
        <w:pStyle w:val="Normal"/>
        <w:spacing w:lineRule="exact" w:line="263" w:before="0" w:after="274"/>
        <w:ind w:start="20" w:end="20"/>
        <w:jc w:val="both"/>
        <w:rPr>
          <w:rFonts w:cs="Calibri" w:cstheme="minorHAnsi"/>
          <w:lang w:val="it-IT"/>
        </w:rPr>
      </w:pPr>
      <w:r>
        <w:rPr>
          <w:rFonts w:cs="Calibri" w:cstheme="minorHAnsi"/>
          <w:b/>
          <w:bCs/>
          <w:lang w:val="it-IT"/>
        </w:rPr>
        <w:t>RITENUTO</w:t>
      </w:r>
      <w:r>
        <w:rPr>
          <w:rFonts w:cs="Calibri" w:cstheme="minorHAnsi"/>
          <w:lang w:val="it-IT"/>
        </w:rPr>
        <w:t xml:space="preserve"> di dover procedere alla pubblicazione di un avviso pubblico, sul sito istituzionale dei  Comuni dell’Unione e sul sito del Dipartimento regionale delle Autonomie Locali per la presentazione delle domande da parte di professionisti residenti in Sicilia, iscritti nel registro dei revisori legali di cui al D. Lgs. n. 39 del 27/01/2010, nonché tra gli iscritti all'Ordine dei dottori commercialisti e degli esperti contabili;</w:t>
      </w:r>
    </w:p>
    <w:p>
      <w:pPr>
        <w:pStyle w:val="Normal"/>
        <w:spacing w:lineRule="exact" w:line="220" w:before="0" w:after="246"/>
        <w:ind w:start="20"/>
        <w:jc w:val="both"/>
        <w:rPr>
          <w:rFonts w:cs="Calibri" w:cstheme="minorHAnsi"/>
          <w:lang w:val="it-IT"/>
        </w:rPr>
      </w:pPr>
      <w:bookmarkStart w:id="3" w:name="bookmark3"/>
      <w:r>
        <w:rPr>
          <w:rFonts w:cs="Calibri" w:cstheme="minorHAnsi"/>
          <w:lang w:val="it-IT"/>
        </w:rPr>
        <w:t>In attuazione della determinazione del Resp.  n. 1 del 06/02/2026;</w:t>
      </w:r>
      <w:bookmarkEnd w:id="3"/>
    </w:p>
    <w:p>
      <w:pPr>
        <w:pStyle w:val="Normal"/>
        <w:spacing w:lineRule="exact" w:line="220" w:before="0" w:after="225"/>
        <w:ind w:start="3840"/>
        <w:jc w:val="both"/>
        <w:rPr>
          <w:rFonts w:cs="Calibri" w:cstheme="minorHAnsi"/>
          <w:b/>
          <w:bCs/>
          <w:lang w:val="it-IT"/>
        </w:rPr>
      </w:pPr>
      <w:bookmarkStart w:id="4" w:name="bookmark4"/>
      <w:r>
        <w:rPr>
          <w:rFonts w:cs="Calibri" w:cstheme="minorHAnsi"/>
          <w:b/>
          <w:bCs/>
          <w:lang w:val="it-IT"/>
        </w:rPr>
        <w:t>RENDE NOTO</w:t>
      </w:r>
      <w:bookmarkEnd w:id="4"/>
    </w:p>
    <w:p>
      <w:pPr>
        <w:pStyle w:val="Normal"/>
        <w:numPr>
          <w:ilvl w:val="0"/>
          <w:numId w:val="2"/>
        </w:numPr>
        <w:tabs>
          <w:tab w:val="clear" w:pos="708"/>
          <w:tab w:val="left" w:pos="196" w:leader="none"/>
        </w:tabs>
        <w:spacing w:lineRule="exact" w:line="259" w:before="0" w:after="237"/>
        <w:ind w:start="20" w:end="20"/>
        <w:jc w:val="both"/>
        <w:rPr>
          <w:rFonts w:cs="Calibri" w:cstheme="minorHAnsi"/>
          <w:lang w:val="it-IT"/>
        </w:rPr>
      </w:pPr>
      <w:r>
        <w:rPr>
          <w:rFonts w:cs="Calibri" w:cstheme="minorHAnsi"/>
          <w:lang w:val="it-IT"/>
        </w:rPr>
        <w:t>Che il Consiglio dell’Unione dei Comuni “Trinacria del Tirreno”, deve procedere, con apposita deliberazione, alla nomina, tramite sorteggio, del revisore dei conti per il triennio 2026/2028, con decorrenza dalla data di esecutività dell'atto deliberativo;</w:t>
      </w:r>
    </w:p>
    <w:p>
      <w:pPr>
        <w:pStyle w:val="Normal"/>
        <w:numPr>
          <w:ilvl w:val="0"/>
          <w:numId w:val="2"/>
        </w:numPr>
        <w:tabs>
          <w:tab w:val="clear" w:pos="708"/>
          <w:tab w:val="left" w:pos="193" w:leader="none"/>
        </w:tabs>
        <w:spacing w:lineRule="exact" w:line="263" w:before="0" w:after="0"/>
        <w:ind w:start="20" w:end="20"/>
        <w:jc w:val="both"/>
        <w:rPr>
          <w:rFonts w:cs="Calibri" w:cstheme="minorHAnsi"/>
          <w:lang w:val="it-IT"/>
        </w:rPr>
      </w:pPr>
      <w:r>
        <w:rPr>
          <w:rFonts w:cs="Calibri" w:cstheme="minorHAnsi"/>
          <w:lang w:val="it-IT"/>
        </w:rPr>
        <w:t>Che l'Organo di revisione economico-finanziaria sarà scelto ai sensi dell'art. 10 della L.R. n. 3/2016, cosi come sostituito dall'art. 6 della L.R. n. 17/2016, e successivamente modificato dall'art. 39 comma 1 della L.R. n. 16/2017, tra coloro che abbiano presentato apposita domanda ed in possesso dei requisiti previsti;</w:t>
      </w:r>
    </w:p>
    <w:p>
      <w:pPr>
        <w:pStyle w:val="Normal"/>
        <w:numPr>
          <w:ilvl w:val="0"/>
          <w:numId w:val="2"/>
        </w:numPr>
        <w:tabs>
          <w:tab w:val="clear" w:pos="708"/>
          <w:tab w:val="left" w:pos="247" w:leader="none"/>
        </w:tabs>
        <w:spacing w:lineRule="exact" w:line="266" w:before="0" w:after="237"/>
        <w:ind w:start="20" w:end="40"/>
        <w:jc w:val="both"/>
        <w:rPr>
          <w:rFonts w:cs="Calibri" w:cstheme="minorHAnsi"/>
          <w:lang w:val="it-IT"/>
        </w:rPr>
      </w:pPr>
      <w:r>
        <w:rPr>
          <w:rFonts w:cs="Calibri" w:cstheme="minorHAnsi"/>
          <w:lang w:val="it-IT"/>
        </w:rPr>
        <w:t>Che la durata dell'incarico, le cause di cessazione, di incompatibilità e ineleggibilità, il funzionamento, i limiti all'affidamento dell'incarico, le funzioni, le responsabilità dell'Organo di revisione economico-finanziaria, trovano la loro disciplina negli artt. da 234 a 243 del D. Lgs n. 267/2000, nell'art. 9 della L.R. n. 15 del 11/05/1993 e nel vigente regolamento di contabilità di questo Ente;</w:t>
      </w:r>
    </w:p>
    <w:p>
      <w:pPr>
        <w:pStyle w:val="Normal"/>
        <w:numPr>
          <w:ilvl w:val="0"/>
          <w:numId w:val="2"/>
        </w:numPr>
        <w:tabs>
          <w:tab w:val="clear" w:pos="708"/>
          <w:tab w:val="left" w:pos="222" w:leader="none"/>
        </w:tabs>
        <w:spacing w:lineRule="exact" w:line="270" w:before="0" w:after="520"/>
        <w:ind w:start="20" w:end="40"/>
        <w:jc w:val="both"/>
        <w:rPr>
          <w:rFonts w:cs="Calibri" w:cstheme="minorHAnsi"/>
          <w:lang w:val="it-IT"/>
        </w:rPr>
      </w:pPr>
      <w:r>
        <w:rPr>
          <w:rFonts w:cs="Calibri" w:cstheme="minorHAnsi"/>
          <w:lang w:val="it-IT"/>
        </w:rPr>
        <w:t>Che per lo svolgimento dell'incarico è prevista la corresponsione di un compenso stabilito contestualmente alla delibera di nomina, determinato in conformità a quanto previsto dall'art. 241 del D.Lgs. n. 267/2000 e dalle disposizioni di cui al D.M. 21/12/2018;</w:t>
      </w:r>
    </w:p>
    <w:p>
      <w:pPr>
        <w:pStyle w:val="Normal"/>
        <w:keepNext w:val="true"/>
        <w:keepLines/>
        <w:numPr>
          <w:ilvl w:val="0"/>
          <w:numId w:val="0"/>
        </w:numPr>
        <w:spacing w:lineRule="exact" w:line="220" w:before="0" w:after="177"/>
        <w:ind w:start="4240"/>
        <w:jc w:val="both"/>
        <w:outlineLvl w:val="0"/>
        <w:rPr>
          <w:rFonts w:cs="Calibri" w:cstheme="minorHAnsi"/>
          <w:b/>
          <w:bCs/>
          <w:lang w:val="it-IT"/>
        </w:rPr>
      </w:pPr>
      <w:bookmarkStart w:id="5" w:name="bookmark5"/>
      <w:r>
        <w:rPr>
          <w:rFonts w:cs="Calibri" w:cstheme="minorHAnsi"/>
          <w:b/>
          <w:bCs/>
          <w:lang w:val="it-IT"/>
        </w:rPr>
        <w:t>INVITA</w:t>
      </w:r>
      <w:bookmarkEnd w:id="5"/>
    </w:p>
    <w:p>
      <w:pPr>
        <w:pStyle w:val="Normal"/>
        <w:spacing w:lineRule="exact" w:line="263" w:before="0" w:after="0"/>
        <w:ind w:start="20" w:end="40"/>
        <w:jc w:val="both"/>
        <w:rPr>
          <w:rFonts w:cs="Calibri" w:cstheme="minorHAnsi"/>
          <w:lang w:val="it-IT"/>
        </w:rPr>
      </w:pPr>
      <w:r>
        <w:rPr>
          <w:rFonts w:cs="Calibri" w:cstheme="minorHAnsi"/>
          <w:lang w:val="it-IT"/>
        </w:rPr>
        <w:t>gli aspiranti candidati a presentare domanda secondo lo schema allegato al presente avviso sotto lettera "A", corredata da:</w:t>
      </w:r>
    </w:p>
    <w:p>
      <w:pPr>
        <w:pStyle w:val="Normal"/>
        <w:numPr>
          <w:ilvl w:val="1"/>
          <w:numId w:val="2"/>
        </w:numPr>
        <w:tabs>
          <w:tab w:val="clear" w:pos="708"/>
          <w:tab w:val="left" w:pos="691" w:leader="none"/>
        </w:tabs>
        <w:spacing w:lineRule="exact" w:line="263" w:before="0" w:after="0"/>
        <w:ind w:hanging="340" w:start="700" w:end="40"/>
        <w:jc w:val="both"/>
        <w:rPr>
          <w:rFonts w:cs="Calibri" w:cstheme="minorHAnsi"/>
          <w:lang w:val="it-IT"/>
        </w:rPr>
      </w:pPr>
      <w:r>
        <w:rPr>
          <w:rFonts w:cs="Calibri" w:cstheme="minorHAnsi"/>
          <w:lang w:val="it-IT"/>
        </w:rPr>
        <w:t>le generalità complete (cognome, nome, luogo e data di nascita, residenza in un comune della regione Sicilia, domicilio, codice fiscale, partita IVA);</w:t>
      </w:r>
    </w:p>
    <w:p>
      <w:pPr>
        <w:pStyle w:val="Normal"/>
        <w:numPr>
          <w:ilvl w:val="1"/>
          <w:numId w:val="2"/>
        </w:numPr>
        <w:tabs>
          <w:tab w:val="clear" w:pos="708"/>
          <w:tab w:val="left" w:pos="713" w:leader="none"/>
        </w:tabs>
        <w:spacing w:lineRule="exact" w:line="263" w:before="0" w:after="0"/>
        <w:ind w:hanging="340" w:start="700" w:end="-2"/>
        <w:jc w:val="both"/>
        <w:rPr>
          <w:rFonts w:cs="Calibri" w:cstheme="minorHAnsi"/>
          <w:lang w:val="it-IT"/>
        </w:rPr>
      </w:pPr>
      <w:r>
        <w:rPr>
          <w:rFonts w:cs="Calibri" w:cstheme="minorHAnsi"/>
          <w:lang w:val="it-IT"/>
        </w:rPr>
        <w:t>la dichiarazione sostitutiva di atto di notorietà resa ex artt. 46 e 47 del D.P.R. n. 445   del 28/12/2000 con la quale il soggetto concorrente dichiara:</w:t>
      </w:r>
    </w:p>
    <w:p>
      <w:pPr>
        <w:pStyle w:val="Normal"/>
        <w:numPr>
          <w:ilvl w:val="2"/>
          <w:numId w:val="2"/>
        </w:numPr>
        <w:tabs>
          <w:tab w:val="clear" w:pos="708"/>
          <w:tab w:val="left" w:pos="304" w:leader="none"/>
        </w:tabs>
        <w:spacing w:lineRule="exact" w:line="263" w:before="0" w:after="0"/>
        <w:ind w:start="20" w:end="40"/>
        <w:jc w:val="both"/>
        <w:rPr>
          <w:rFonts w:cs="Calibri" w:cstheme="minorHAnsi"/>
          <w:lang w:val="it-IT"/>
        </w:rPr>
      </w:pPr>
      <w:r>
        <w:rPr>
          <w:rFonts w:cs="Calibri" w:cstheme="minorHAnsi"/>
          <w:lang w:val="it-IT"/>
        </w:rPr>
        <w:t>di essere iscritto da almeno due anni nel registro dei revisori legali o all'ordine dei dottori commercialisti e degli esperti contabili;</w:t>
      </w:r>
    </w:p>
    <w:p>
      <w:pPr>
        <w:pStyle w:val="Normal"/>
        <w:numPr>
          <w:ilvl w:val="2"/>
          <w:numId w:val="2"/>
        </w:numPr>
        <w:tabs>
          <w:tab w:val="clear" w:pos="708"/>
          <w:tab w:val="left" w:pos="286" w:leader="none"/>
        </w:tabs>
        <w:spacing w:lineRule="exact" w:line="263" w:before="0" w:after="0"/>
        <w:ind w:start="20" w:end="40"/>
        <w:jc w:val="both"/>
        <w:rPr>
          <w:rFonts w:cs="Calibri" w:cstheme="minorHAnsi"/>
          <w:lang w:val="it-IT"/>
        </w:rPr>
      </w:pPr>
      <w:r>
        <w:rPr>
          <w:rFonts w:cs="Calibri" w:cstheme="minorHAnsi"/>
          <w:lang w:val="it-IT"/>
        </w:rPr>
        <w:t>il conseguimento nell'anno precedente, di almeno 10 crediti formativi per aver partecipato a corsi e/o seminari formativi in materia di contabilità pubblica e gestione economica e finanziaria degli enti territoriali;</w:t>
      </w:r>
    </w:p>
    <w:p>
      <w:pPr>
        <w:pStyle w:val="Normal"/>
        <w:numPr>
          <w:ilvl w:val="2"/>
          <w:numId w:val="2"/>
        </w:numPr>
        <w:tabs>
          <w:tab w:val="clear" w:pos="708"/>
          <w:tab w:val="left" w:pos="268" w:leader="none"/>
        </w:tabs>
        <w:spacing w:lineRule="exact" w:line="263" w:before="0" w:after="0"/>
        <w:ind w:start="20" w:end="40"/>
        <w:jc w:val="both"/>
        <w:rPr>
          <w:rFonts w:cs="Calibri" w:cstheme="minorHAnsi"/>
          <w:lang w:val="it-IT"/>
        </w:rPr>
      </w:pPr>
      <w:r>
        <w:rPr>
          <w:rFonts w:cs="Calibri" w:cstheme="minorHAnsi"/>
          <w:lang w:val="it-IT"/>
        </w:rPr>
        <w:t>il rispetto dei limiti per l'assunzione di incarichi di cui all'art. 10 comma 7 della L.R. 3/2016, così come sostituito dall'art. 6 della L.R. n. 17/2016, come da ultimo sostituito e modificato dall’art. 8, c. 2, delle L.R. n. 6 del 04/03/2021 (non più di quattro incarichi);</w:t>
      </w:r>
    </w:p>
    <w:p>
      <w:pPr>
        <w:pStyle w:val="Normal"/>
        <w:numPr>
          <w:ilvl w:val="2"/>
          <w:numId w:val="2"/>
        </w:numPr>
        <w:tabs>
          <w:tab w:val="clear" w:pos="708"/>
          <w:tab w:val="left" w:pos="286" w:leader="none"/>
        </w:tabs>
        <w:spacing w:lineRule="exact" w:line="263" w:before="0" w:after="0"/>
        <w:ind w:start="20" w:end="40"/>
        <w:jc w:val="both"/>
        <w:rPr>
          <w:rFonts w:cs="Calibri" w:cstheme="minorHAnsi"/>
          <w:lang w:val="it-IT"/>
        </w:rPr>
      </w:pPr>
      <w:r>
        <w:rPr>
          <w:rFonts w:cs="Calibri" w:cstheme="minorHAnsi"/>
          <w:lang w:val="it-IT"/>
        </w:rPr>
        <w:t>di non trovarsi in alcuna delle condizioni di ineleggibilità e/o incompatibilità di cui all'art. 236 dei D. Lgs. n. 267/2000;</w:t>
      </w:r>
    </w:p>
    <w:p>
      <w:pPr>
        <w:pStyle w:val="Normal"/>
        <w:numPr>
          <w:ilvl w:val="2"/>
          <w:numId w:val="2"/>
        </w:numPr>
        <w:tabs>
          <w:tab w:val="clear" w:pos="708"/>
          <w:tab w:val="left" w:pos="265" w:leader="none"/>
        </w:tabs>
        <w:spacing w:lineRule="exact" w:line="263" w:before="0" w:after="0"/>
        <w:ind w:start="20"/>
        <w:jc w:val="both"/>
        <w:rPr>
          <w:rFonts w:cs="Calibri" w:cstheme="minorHAnsi"/>
          <w:lang w:val="it-IT"/>
        </w:rPr>
      </w:pPr>
      <w:r>
        <w:rPr>
          <w:rFonts w:cs="Calibri" w:cstheme="minorHAnsi"/>
          <w:lang w:val="it-IT"/>
        </w:rPr>
        <w:t>l'insussistenza di conflitti di interesse con l'incarico da assumere;</w:t>
      </w:r>
    </w:p>
    <w:p>
      <w:pPr>
        <w:pStyle w:val="Normal"/>
        <w:numPr>
          <w:ilvl w:val="2"/>
          <w:numId w:val="2"/>
        </w:numPr>
        <w:tabs>
          <w:tab w:val="clear" w:pos="708"/>
          <w:tab w:val="left" w:pos="229" w:leader="none"/>
        </w:tabs>
        <w:spacing w:lineRule="exact" w:line="263" w:before="0" w:after="0"/>
        <w:ind w:start="20"/>
        <w:jc w:val="both"/>
        <w:rPr>
          <w:rFonts w:cs="Calibri" w:cstheme="minorHAnsi"/>
          <w:lang w:val="it-IT"/>
        </w:rPr>
      </w:pPr>
      <w:r>
        <w:rPr>
          <w:rFonts w:cs="Calibri" w:cstheme="minorHAnsi"/>
          <w:lang w:val="it-IT"/>
        </w:rPr>
        <w:t>non essere stato né essere sottoposto ad alcuna misura di prevenzione prevista dalle leggi vigenti;</w:t>
      </w:r>
    </w:p>
    <w:p>
      <w:pPr>
        <w:pStyle w:val="Normal"/>
        <w:numPr>
          <w:ilvl w:val="2"/>
          <w:numId w:val="2"/>
        </w:numPr>
        <w:tabs>
          <w:tab w:val="clear" w:pos="708"/>
          <w:tab w:val="left" w:pos="290" w:leader="none"/>
        </w:tabs>
        <w:spacing w:lineRule="exact" w:line="263" w:before="0" w:after="0"/>
        <w:ind w:start="20" w:end="40"/>
        <w:jc w:val="both"/>
        <w:rPr>
          <w:rFonts w:cs="Calibri" w:cstheme="minorHAnsi"/>
          <w:lang w:val="it-IT"/>
        </w:rPr>
      </w:pPr>
      <w:r>
        <w:rPr>
          <w:rFonts w:cs="Calibri" w:cstheme="minorHAnsi"/>
          <w:lang w:val="it-IT"/>
        </w:rPr>
        <w:t>di impegnarsi senza alcuna riserva, nel caso di conferimento dell'incarico ad espletarlo secondo tutte le condizioni, modalità, prescrizioni, clausole e quant'altro previste dagli artt. 235, 239, 240 del D. Lgs. 267/2000;</w:t>
      </w:r>
    </w:p>
    <w:p>
      <w:pPr>
        <w:pStyle w:val="Normal"/>
        <w:numPr>
          <w:ilvl w:val="2"/>
          <w:numId w:val="2"/>
        </w:numPr>
        <w:tabs>
          <w:tab w:val="clear" w:pos="708"/>
          <w:tab w:val="left" w:pos="272" w:leader="none"/>
        </w:tabs>
        <w:spacing w:lineRule="exact" w:line="263" w:before="0" w:after="0"/>
        <w:ind w:start="20"/>
        <w:jc w:val="both"/>
        <w:rPr>
          <w:rFonts w:cs="Calibri" w:cstheme="minorHAnsi"/>
          <w:lang w:val="it-IT"/>
        </w:rPr>
      </w:pPr>
      <w:r>
        <w:rPr>
          <w:rFonts w:cs="Calibri" w:cstheme="minorHAnsi"/>
          <w:lang w:val="it-IT"/>
        </w:rPr>
        <w:t>di accettare la carica in caso di nomina;</w:t>
      </w:r>
    </w:p>
    <w:p>
      <w:pPr>
        <w:pStyle w:val="Normal"/>
        <w:numPr>
          <w:ilvl w:val="2"/>
          <w:numId w:val="2"/>
        </w:numPr>
        <w:tabs>
          <w:tab w:val="clear" w:pos="708"/>
          <w:tab w:val="left" w:pos="229" w:leader="none"/>
        </w:tabs>
        <w:spacing w:lineRule="exact" w:line="263" w:before="0" w:after="0"/>
        <w:ind w:start="20" w:end="40"/>
        <w:jc w:val="both"/>
        <w:rPr>
          <w:rFonts w:cs="Calibri" w:cstheme="minorHAnsi"/>
          <w:lang w:val="it-IT"/>
        </w:rPr>
      </w:pPr>
      <w:r>
        <w:rPr>
          <w:rFonts w:cs="Calibri" w:cstheme="minorHAnsi"/>
          <w:lang w:val="it-IT"/>
        </w:rPr>
        <w:t>di autorizzare il trattamento dei dati personali, ai sensi del D. Lgs. n. 196 del 30/06/2003 e s.m.i., limitatamente al procedimento in questione;</w:t>
      </w:r>
    </w:p>
    <w:p>
      <w:pPr>
        <w:pStyle w:val="Normal"/>
        <w:numPr>
          <w:ilvl w:val="1"/>
          <w:numId w:val="2"/>
        </w:numPr>
        <w:tabs>
          <w:tab w:val="clear" w:pos="708"/>
          <w:tab w:val="left" w:pos="308" w:leader="none"/>
        </w:tabs>
        <w:spacing w:lineRule="exact" w:line="263" w:before="0" w:after="0"/>
        <w:ind w:start="20"/>
        <w:jc w:val="both"/>
        <w:rPr>
          <w:rFonts w:cs="Calibri" w:cstheme="minorHAnsi"/>
          <w:lang w:val="it-IT"/>
        </w:rPr>
      </w:pPr>
      <w:r>
        <w:rPr>
          <w:rFonts w:cs="Calibri" w:cstheme="minorHAnsi"/>
          <w:lang w:val="it-IT"/>
        </w:rPr>
        <w:t>copia del documento di identità in corso di validità;</w:t>
      </w:r>
    </w:p>
    <w:p>
      <w:pPr>
        <w:pStyle w:val="Normal"/>
        <w:numPr>
          <w:ilvl w:val="1"/>
          <w:numId w:val="2"/>
        </w:numPr>
        <w:tabs>
          <w:tab w:val="clear" w:pos="708"/>
          <w:tab w:val="left" w:pos="308" w:leader="none"/>
        </w:tabs>
        <w:spacing w:lineRule="exact" w:line="263" w:before="0" w:after="0"/>
        <w:ind w:start="20"/>
        <w:jc w:val="both"/>
        <w:rPr>
          <w:rFonts w:cs="Calibri" w:cstheme="minorHAnsi"/>
          <w:lang w:val="it-IT"/>
        </w:rPr>
      </w:pPr>
      <w:r>
        <w:rPr>
          <w:rFonts w:cs="Calibri" w:cstheme="minorHAnsi"/>
          <w:lang w:val="it-IT"/>
        </w:rPr>
        <w:t>curriculum vitae, in formato europeo, datato e sottoscritto;</w:t>
      </w:r>
    </w:p>
    <w:p>
      <w:pPr>
        <w:pStyle w:val="Normal"/>
        <w:numPr>
          <w:ilvl w:val="1"/>
          <w:numId w:val="2"/>
        </w:numPr>
        <w:tabs>
          <w:tab w:val="clear" w:pos="708"/>
          <w:tab w:val="left" w:pos="301" w:leader="none"/>
        </w:tabs>
        <w:spacing w:lineRule="exact" w:line="263" w:before="0" w:after="0"/>
        <w:ind w:start="20"/>
        <w:jc w:val="both"/>
        <w:rPr>
          <w:rFonts w:cs="Calibri" w:cstheme="minorHAnsi"/>
          <w:lang w:val="it-IT"/>
        </w:rPr>
      </w:pPr>
      <w:r>
        <w:rPr>
          <w:rFonts w:cs="Calibri" w:cstheme="minorHAnsi"/>
          <w:lang w:val="it-IT"/>
        </w:rPr>
        <w:t>elenco degli enti locali presso i quali ha già svolto la funzione di revisore dei conti;</w:t>
      </w:r>
    </w:p>
    <w:p>
      <w:pPr>
        <w:pStyle w:val="Normal"/>
        <w:numPr>
          <w:ilvl w:val="1"/>
          <w:numId w:val="2"/>
        </w:numPr>
        <w:tabs>
          <w:tab w:val="clear" w:pos="708"/>
          <w:tab w:val="left" w:pos="284" w:leader="none"/>
        </w:tabs>
        <w:spacing w:lineRule="exact" w:line="263" w:before="0" w:after="0"/>
        <w:ind w:start="20"/>
        <w:jc w:val="both"/>
        <w:rPr>
          <w:rFonts w:cs="Calibri" w:cstheme="minorHAnsi"/>
          <w:lang w:val="it-IT"/>
        </w:rPr>
      </w:pPr>
      <w:r>
        <w:rPr>
          <w:rFonts w:cs="Calibri" w:cstheme="minorHAnsi"/>
          <w:lang w:val="it-IT"/>
        </w:rPr>
        <w:t>autocertificazione antimafia - persone fisiche;</w:t>
      </w:r>
    </w:p>
    <w:p>
      <w:pPr>
        <w:pStyle w:val="Normal"/>
        <w:spacing w:lineRule="exact" w:line="263" w:before="0" w:after="0"/>
        <w:jc w:val="both"/>
        <w:rPr>
          <w:rFonts w:cs="Calibri" w:cstheme="minorHAnsi"/>
          <w:lang w:val="it-IT"/>
        </w:rPr>
      </w:pPr>
      <w:r>
        <w:rPr>
          <w:rFonts w:cs="Calibri" w:cstheme="minorHAnsi"/>
          <w:lang w:val="it-IT"/>
        </w:rPr>
        <w:t>7. dichiarazione insussistenza di cause di inconferibilità e incompatibilità ex D. Lgs. n.39/2013 e s.m.i.</w:t>
      </w:r>
    </w:p>
    <w:p>
      <w:pPr>
        <w:pStyle w:val="Normal"/>
        <w:spacing w:lineRule="exact" w:line="256" w:before="0" w:after="0"/>
        <w:ind w:start="20" w:end="40"/>
        <w:jc w:val="both"/>
        <w:rPr>
          <w:rFonts w:cs="Calibri" w:cstheme="minorHAnsi"/>
          <w:lang w:val="it-IT"/>
        </w:rPr>
      </w:pPr>
      <w:r>
        <w:rPr>
          <w:rFonts w:cs="Calibri" w:cstheme="minorHAnsi"/>
          <w:lang w:val="it-IT"/>
        </w:rPr>
        <w:t>La mancanza di uno solo dei requisiti e/o documenti richiesti determinerà l'esclusione dalla selezione.</w:t>
      </w:r>
    </w:p>
    <w:p>
      <w:pPr>
        <w:pStyle w:val="Normal"/>
        <w:spacing w:lineRule="exact" w:line="256" w:before="0" w:after="0"/>
        <w:ind w:start="20" w:end="40"/>
        <w:jc w:val="both"/>
        <w:rPr>
          <w:rFonts w:cs="Calibri" w:cstheme="minorHAnsi"/>
          <w:lang w:val="it-IT"/>
        </w:rPr>
      </w:pPr>
      <w:r>
        <w:rPr>
          <w:rFonts w:cs="Calibri" w:cstheme="minorHAnsi"/>
          <w:lang w:val="it-IT"/>
        </w:rPr>
      </w:r>
    </w:p>
    <w:p>
      <w:pPr>
        <w:pStyle w:val="Normal"/>
        <w:keepNext w:val="true"/>
        <w:keepLines/>
        <w:numPr>
          <w:ilvl w:val="0"/>
          <w:numId w:val="0"/>
        </w:numPr>
        <w:spacing w:lineRule="exact" w:line="259" w:before="0" w:after="0"/>
        <w:ind w:start="20" w:end="40"/>
        <w:jc w:val="center"/>
        <w:outlineLvl w:val="0"/>
        <w:rPr>
          <w:rFonts w:cs="Calibri" w:cstheme="minorHAnsi"/>
          <w:b/>
          <w:bCs/>
          <w:lang w:val="it-IT"/>
        </w:rPr>
      </w:pPr>
      <w:bookmarkStart w:id="6" w:name="bookmark6"/>
      <w:r>
        <w:rPr>
          <w:rFonts w:cs="Calibri" w:cstheme="minorHAnsi"/>
          <w:b/>
          <w:bCs/>
          <w:lang w:val="it-IT"/>
        </w:rPr>
        <w:t>MODALITÀ' E TERMINI PER LA PRESENTAZIONE DELLE DOMANDE DI PARTECIPAZIONE</w:t>
      </w:r>
      <w:bookmarkEnd w:id="6"/>
    </w:p>
    <w:p>
      <w:pPr>
        <w:pStyle w:val="Normal"/>
        <w:keepNext w:val="true"/>
        <w:keepLines/>
        <w:numPr>
          <w:ilvl w:val="0"/>
          <w:numId w:val="0"/>
        </w:numPr>
        <w:spacing w:lineRule="exact" w:line="259" w:before="0" w:after="0"/>
        <w:ind w:start="20" w:end="40"/>
        <w:jc w:val="both"/>
        <w:outlineLvl w:val="0"/>
        <w:rPr>
          <w:rFonts w:cs="Calibri" w:cstheme="minorHAnsi"/>
          <w:b/>
          <w:bCs/>
          <w:lang w:val="it-IT"/>
        </w:rPr>
      </w:pPr>
      <w:r>
        <w:rPr>
          <w:rFonts w:cs="Calibri" w:cstheme="minorHAnsi"/>
          <w:b/>
          <w:bCs/>
          <w:lang w:val="it-IT"/>
        </w:rPr>
      </w:r>
    </w:p>
    <w:p>
      <w:pPr>
        <w:pStyle w:val="Normal"/>
        <w:tabs>
          <w:tab w:val="clear" w:pos="708"/>
          <w:tab w:val="left" w:pos="8725" w:leader="none"/>
        </w:tabs>
        <w:spacing w:lineRule="exact" w:line="270" w:before="0" w:after="220"/>
        <w:ind w:start="20" w:end="140"/>
        <w:jc w:val="both"/>
        <w:rPr>
          <w:rFonts w:cs="Calibri" w:cstheme="minorHAnsi"/>
          <w:lang w:val="it-IT"/>
        </w:rPr>
      </w:pPr>
      <w:r>
        <w:rPr>
          <w:rFonts w:cs="Calibri" w:cstheme="minorHAnsi"/>
          <w:lang w:val="it-IT"/>
        </w:rPr>
        <w:t>La domanda di partecipazione e la documentazione allegata dovranno pervenire entro e non oltre le ore 12,00 del giorno 09/03/2026 all’Unione dei Comuni “Trinacria del Tirreno” tramite le seguenti modalità:</w:t>
        <w:tab/>
      </w:r>
    </w:p>
    <w:p>
      <w:pPr>
        <w:pStyle w:val="Normal"/>
        <w:numPr>
          <w:ilvl w:val="0"/>
          <w:numId w:val="3"/>
        </w:numPr>
        <w:tabs>
          <w:tab w:val="clear" w:pos="708"/>
          <w:tab w:val="left" w:pos="698" w:leader="none"/>
        </w:tabs>
        <w:spacing w:lineRule="auto" w:line="240" w:before="0" w:after="0"/>
        <w:ind w:hanging="340" w:start="700"/>
        <w:jc w:val="both"/>
        <w:rPr>
          <w:rFonts w:cs="Calibri" w:cstheme="minorHAnsi"/>
          <w:lang w:val="it-IT"/>
        </w:rPr>
      </w:pPr>
      <w:r>
        <w:rPr>
          <w:rFonts w:cs="Calibri" w:cstheme="minorHAnsi"/>
          <w:lang w:val="it-IT"/>
        </w:rPr>
        <w:t xml:space="preserve">Posta Elettronica Certificata al seguente indirizzo PEC: </w:t>
      </w:r>
      <w:r>
        <w:rPr>
          <w:rFonts w:cs="Calibri" w:cstheme="minorHAnsi"/>
          <w:b/>
          <w:bCs/>
          <w:lang w:val="it-IT"/>
        </w:rPr>
        <w:t>unionetrinacriadeltirreno@pec.it</w:t>
      </w:r>
      <w:hyperlink r:id="rId7">
        <w:r>
          <w:rPr>
            <w:rFonts w:cs="Calibri" w:cstheme="minorHAnsi"/>
            <w:b/>
            <w:bCs/>
            <w:lang w:val="en-US"/>
          </w:rPr>
          <w:t>;</w:t>
        </w:r>
      </w:hyperlink>
    </w:p>
    <w:p>
      <w:pPr>
        <w:pStyle w:val="Normal"/>
        <w:numPr>
          <w:ilvl w:val="0"/>
          <w:numId w:val="3"/>
        </w:numPr>
        <w:tabs>
          <w:tab w:val="clear" w:pos="708"/>
          <w:tab w:val="left" w:pos="691" w:leader="none"/>
        </w:tabs>
        <w:spacing w:lineRule="auto" w:line="240" w:before="0" w:after="0"/>
        <w:ind w:hanging="340" w:start="700" w:end="139"/>
        <w:jc w:val="both"/>
        <w:rPr>
          <w:rFonts w:cs="Calibri" w:cstheme="minorHAnsi"/>
          <w:lang w:val="it-IT"/>
        </w:rPr>
      </w:pPr>
      <w:r>
        <w:rPr>
          <w:rFonts w:cs="Calibri" w:cstheme="minorHAnsi"/>
          <w:lang w:val="it-IT"/>
        </w:rPr>
        <w:t>consegna all'Ufficio protocollo del comune di Gualtieri Sicaminò, Piazza Duomo n. 1   CAP: 98040 in busta chiusa;</w:t>
      </w:r>
    </w:p>
    <w:p>
      <w:pPr>
        <w:pStyle w:val="Normal"/>
        <w:numPr>
          <w:ilvl w:val="0"/>
          <w:numId w:val="3"/>
        </w:numPr>
        <w:tabs>
          <w:tab w:val="clear" w:pos="708"/>
          <w:tab w:val="left" w:pos="691" w:leader="none"/>
        </w:tabs>
        <w:spacing w:lineRule="auto" w:line="240" w:before="0" w:after="0"/>
        <w:ind w:hanging="340" w:start="700" w:end="139"/>
        <w:jc w:val="both"/>
        <w:rPr>
          <w:rFonts w:cs="Calibri" w:cstheme="minorHAnsi"/>
          <w:lang w:val="it-IT"/>
        </w:rPr>
      </w:pPr>
      <w:r>
        <w:rPr>
          <w:rFonts w:cs="Calibri" w:cstheme="minorHAnsi"/>
          <w:lang w:val="it-IT"/>
        </w:rPr>
        <w:t>Raccomandata A/R all'indirizzo - Comune di Gualtieri Sicaminò, Piazza Duomo n. 1 CAP: 98040 Gualtieri Sicaminò;</w:t>
      </w:r>
    </w:p>
    <w:p>
      <w:pPr>
        <w:pStyle w:val="Normal"/>
        <w:spacing w:before="0" w:after="0"/>
        <w:ind w:start="20" w:end="140"/>
        <w:jc w:val="both"/>
        <w:rPr>
          <w:rFonts w:cs="Calibri" w:cstheme="minorHAnsi"/>
          <w:lang w:val="it-IT"/>
        </w:rPr>
      </w:pPr>
      <w:r>
        <w:rPr>
          <w:rFonts w:cs="Calibri" w:cstheme="minorHAnsi"/>
          <w:lang w:val="it-IT"/>
        </w:rPr>
        <w:t>In quest'ultimo caso farà fede la data di arrivo al protocollo dell'Ente. Nell'oggetto della PEC o sulla busta chiusa bisogna scrivere:</w:t>
      </w:r>
    </w:p>
    <w:p>
      <w:pPr>
        <w:pStyle w:val="Normal"/>
        <w:keepNext w:val="true"/>
        <w:keepLines/>
        <w:numPr>
          <w:ilvl w:val="0"/>
          <w:numId w:val="0"/>
        </w:numPr>
        <w:spacing w:lineRule="exact" w:line="266" w:before="0" w:after="177"/>
        <w:ind w:start="20" w:end="140"/>
        <w:jc w:val="both"/>
        <w:outlineLvl w:val="0"/>
        <w:rPr>
          <w:rFonts w:cs="Calibri" w:cstheme="minorHAnsi"/>
          <w:lang w:val="it-IT"/>
        </w:rPr>
      </w:pPr>
      <w:bookmarkStart w:id="7" w:name="bookmark7"/>
      <w:r>
        <w:rPr>
          <w:rFonts w:cs="Calibri" w:cstheme="minorHAnsi"/>
          <w:lang w:val="it-IT"/>
        </w:rPr>
        <w:t>"MANIFESTAZIONE DI INTERESSE ALLA NOMINA DI REVISORE DEI CONTI DELL’UNIONE DEI COMUNI “TRINACRIA DEL TIRRENO’ PER IL TRIENNIO 2026/2028"</w:t>
      </w:r>
      <w:bookmarkEnd w:id="7"/>
    </w:p>
    <w:p>
      <w:pPr>
        <w:pStyle w:val="Normal"/>
        <w:spacing w:lineRule="exact" w:line="270" w:before="0" w:after="186"/>
        <w:ind w:start="20" w:end="139"/>
        <w:jc w:val="both"/>
        <w:rPr>
          <w:rFonts w:cs="Calibri" w:cstheme="minorHAnsi"/>
          <w:lang w:val="it-IT"/>
        </w:rPr>
      </w:pPr>
      <w:r>
        <w:rPr>
          <w:rFonts w:cs="Calibri" w:cstheme="minorHAnsi"/>
          <w:lang w:val="it-IT"/>
        </w:rPr>
        <w:t>Non saranno considerate valide eventuali domande già pervenute all'Ente in data precedente alla pubblicazione del presente avviso.</w:t>
      </w:r>
    </w:p>
    <w:p>
      <w:pPr>
        <w:pStyle w:val="Normal"/>
        <w:spacing w:lineRule="exact" w:line="263" w:before="0" w:after="0"/>
        <w:ind w:start="20" w:end="139"/>
        <w:jc w:val="both"/>
        <w:rPr>
          <w:rFonts w:cs="Calibri" w:cstheme="minorHAnsi"/>
          <w:lang w:val="it-IT"/>
        </w:rPr>
      </w:pPr>
      <w:r>
        <w:rPr>
          <w:rFonts w:cs="Calibri" w:cstheme="minorHAnsi"/>
          <w:lang w:val="it-IT"/>
        </w:rPr>
        <w:t xml:space="preserve">Responsabile del Procedimento è il Dott. Carmelo Calabrese tel. 090-9919401 PEC </w:t>
      </w:r>
      <w:r>
        <w:rPr>
          <w:rFonts w:cs="Calibri" w:cstheme="minorHAnsi"/>
          <w:b/>
          <w:bCs/>
          <w:lang w:val="it-IT"/>
        </w:rPr>
        <w:t>unionetrinacriadeltirreno@pec.it</w:t>
      </w:r>
      <w:hyperlink r:id="rId8">
        <w:r>
          <w:rPr>
            <w:rFonts w:cs="Calibri" w:cstheme="minorHAnsi"/>
            <w:lang w:val="en-US"/>
          </w:rPr>
          <w:t xml:space="preserve"> </w:t>
        </w:r>
      </w:hyperlink>
      <w:r>
        <w:rPr>
          <w:rFonts w:cs="Calibri" w:cstheme="minorHAnsi"/>
          <w:lang w:val="it-IT"/>
        </w:rPr>
        <w:t>alla quale potranno essere richieste ulteriori informazioni in merito alla presente procedura.</w:t>
      </w:r>
    </w:p>
    <w:p>
      <w:pPr>
        <w:pStyle w:val="Normal"/>
        <w:spacing w:before="0" w:after="0"/>
        <w:ind w:start="20" w:end="139"/>
        <w:jc w:val="both"/>
        <w:rPr>
          <w:rFonts w:cs="Calibri" w:cstheme="minorHAnsi"/>
          <w:lang w:val="it-IT"/>
        </w:rPr>
      </w:pPr>
      <w:r>
        <w:rPr>
          <w:rFonts w:cs="Calibri" w:cstheme="minorHAnsi"/>
          <w:lang w:val="it-IT"/>
        </w:rPr>
        <w:t xml:space="preserve">Il presente avviso sarà pubblicato, ai sensi dell’art. 6, c. 3, della l.r. n. 17 dell’11 agosto 2016 e dell’art. 39 della l.r. n. 16 del 11 agosto 2017, per trenta giorni consecutivi sul sito istituzionale dei Comuni di: Gualtieri Sicaminò, Pace del Mela, San Pier Niceto, Santa Lucia del Mela e Venetico, </w:t>
      </w:r>
      <w:hyperlink r:id="rId9">
        <w:r>
          <w:rPr>
            <w:rFonts w:ascii="Times New Roman" w:hAnsi="Times New Roman"/>
            <w:lang w:val="it-IT"/>
          </w:rPr>
          <w:t xml:space="preserve"> </w:t>
        </w:r>
      </w:hyperlink>
      <w:r>
        <w:rPr>
          <w:rFonts w:cs="Calibri" w:cstheme="minorHAnsi"/>
          <w:lang w:val="it-IT"/>
        </w:rPr>
        <w:t>nonché sul sito istituzionale del Dipartimento regionale delle Autonomie locali della Regione siciliana.</w:t>
      </w:r>
    </w:p>
    <w:p>
      <w:pPr>
        <w:pStyle w:val="Normal"/>
        <w:spacing w:before="0" w:after="16"/>
        <w:ind w:start="20"/>
        <w:jc w:val="both"/>
        <w:rPr>
          <w:rFonts w:cs="Calibri" w:cstheme="minorHAnsi"/>
          <w:lang w:val="it-IT"/>
        </w:rPr>
      </w:pPr>
      <w:r>
        <w:rPr>
          <w:rFonts w:cs="Calibri" w:cstheme="minorHAnsi"/>
          <w:lang w:val="it-IT"/>
        </w:rPr>
      </w:r>
    </w:p>
    <w:p>
      <w:pPr>
        <w:pStyle w:val="Normal"/>
        <w:spacing w:before="0" w:after="16"/>
        <w:ind w:start="20"/>
        <w:jc w:val="both"/>
        <w:rPr>
          <w:rFonts w:cs="Calibri" w:cstheme="minorHAnsi"/>
          <w:lang w:val="it-IT"/>
        </w:rPr>
      </w:pPr>
      <w:r>
        <w:rPr>
          <w:rFonts w:cs="Calibri" w:cstheme="minorHAnsi"/>
          <w:lang w:val="it-IT"/>
        </w:rPr>
        <w:t>Gualtieri Sicaminò, lì 06/02/2026</w:t>
      </w:r>
    </w:p>
    <w:p>
      <w:pPr>
        <w:pStyle w:val="Normal"/>
        <w:spacing w:before="0" w:after="16"/>
        <w:ind w:start="20"/>
        <w:jc w:val="both"/>
        <w:rPr>
          <w:rFonts w:cs="Calibri" w:cstheme="minorHAnsi"/>
          <w:lang w:val="it-IT"/>
        </w:rPr>
      </w:pPr>
      <w:r>
        <w:rPr>
          <w:rFonts w:cs="Calibri" w:cstheme="minorHAnsi"/>
          <w:lang w:val="it-IT"/>
        </w:rPr>
        <w:tab/>
        <w:tab/>
        <w:tab/>
        <w:tab/>
        <w:tab/>
        <w:tab/>
        <w:tab/>
        <w:tab/>
        <w:tab/>
        <w:tab/>
        <w:tab/>
        <w:t xml:space="preserve">Il Responsabile  </w:t>
      </w:r>
    </w:p>
    <w:p>
      <w:pPr>
        <w:pStyle w:val="Normal"/>
        <w:spacing w:before="0" w:after="16"/>
        <w:ind w:start="20"/>
        <w:jc w:val="both"/>
        <w:rPr>
          <w:rFonts w:cs="Calibri" w:cstheme="minorHAnsi"/>
          <w:sz w:val="2"/>
          <w:szCs w:val="2"/>
          <w:lang w:val="it-IT"/>
        </w:rPr>
      </w:pPr>
      <w:r>
        <w:rPr>
          <w:rFonts w:cs="Calibri" w:cstheme="minorHAnsi"/>
          <w:lang w:val="it-IT"/>
        </w:rPr>
        <w:tab/>
        <w:tab/>
        <w:tab/>
        <w:tab/>
        <w:tab/>
        <w:tab/>
        <w:tab/>
        <w:tab/>
        <w:tab/>
        <w:tab/>
        <w:t xml:space="preserve">        Dott.Carmelo Calabrese</w:t>
      </w:r>
    </w:p>
    <w:p>
      <w:pPr>
        <w:pStyle w:val="Normal"/>
        <w:spacing w:lineRule="auto" w:line="240" w:before="0" w:after="0"/>
        <w:jc w:val="both"/>
        <w:rPr>
          <w:rFonts w:eastAsia="Microsoft Sans Serif" w:cs="Calibri" w:cstheme="minorHAnsi"/>
          <w:color w:val="000000"/>
          <w:sz w:val="2"/>
          <w:szCs w:val="2"/>
          <w:lang w:val="it-IT"/>
        </w:rPr>
      </w:pPr>
      <w:r>
        <w:rPr>
          <w:rFonts w:eastAsia="Microsoft Sans Serif" w:cs="Calibri" w:cstheme="minorHAnsi"/>
          <w:color w:val="000000"/>
          <w:sz w:val="2"/>
          <w:szCs w:val="2"/>
          <w:lang w:val="it-IT"/>
        </w:rPr>
      </w:r>
    </w:p>
    <w:p>
      <w:pPr>
        <w:pStyle w:val="Normal"/>
        <w:spacing w:before="197" w:after="160"/>
        <w:ind w:start="140" w:end="140"/>
        <w:jc w:val="both"/>
        <w:rPr>
          <w:rFonts w:ascii="Calibri" w:hAnsi="Calibri"/>
          <w:b/>
        </w:rPr>
      </w:pPr>
      <w:r>
        <w:rPr>
          <w:rFonts w:ascii="Calibri" w:hAnsi="Calibri"/>
          <w:b/>
        </w:rPr>
      </w:r>
    </w:p>
    <w:p>
      <w:pPr>
        <w:pStyle w:val="Normal"/>
        <w:spacing w:before="197" w:after="160"/>
        <w:ind w:start="140" w:end="140"/>
        <w:jc w:val="both"/>
        <w:rPr>
          <w:rFonts w:ascii="Calibri" w:hAnsi="Calibri"/>
          <w:b/>
        </w:rPr>
      </w:pPr>
      <w:r>
        <w:rPr>
          <w:rFonts w:ascii="Calibri" w:hAnsi="Calibri"/>
          <w:b/>
        </w:rPr>
      </w:r>
    </w:p>
    <w:p>
      <w:pPr>
        <w:pStyle w:val="Normal"/>
        <w:spacing w:before="197" w:after="160"/>
        <w:ind w:start="140" w:end="140"/>
        <w:jc w:val="both"/>
        <w:rPr>
          <w:rFonts w:ascii="Calibri" w:hAnsi="Calibri"/>
          <w:b/>
        </w:rPr>
      </w:pPr>
      <w:r>
        <w:rPr>
          <w:rFonts w:ascii="Calibri" w:hAnsi="Calibri"/>
          <w:b/>
        </w:rPr>
      </w:r>
    </w:p>
    <w:p>
      <w:pPr>
        <w:pStyle w:val="Normal"/>
        <w:spacing w:before="197" w:after="160"/>
        <w:ind w:start="140" w:end="140"/>
        <w:jc w:val="both"/>
        <w:rPr>
          <w:rFonts w:ascii="Calibri" w:hAnsi="Calibri"/>
          <w:b/>
        </w:rPr>
      </w:pPr>
      <w:r>
        <w:rPr>
          <w:rFonts w:ascii="Calibri" w:hAnsi="Calibri"/>
          <w:b/>
        </w:rPr>
      </w:r>
      <w:bookmarkStart w:id="8" w:name="_Hlk218850592"/>
      <w:bookmarkStart w:id="9" w:name="_Hlk218850592"/>
      <w:bookmarkEnd w:id="9"/>
    </w:p>
    <w:p>
      <w:pPr>
        <w:pStyle w:val="Normal"/>
        <w:spacing w:before="197" w:after="160"/>
        <w:ind w:start="140" w:end="140"/>
        <w:jc w:val="both"/>
        <w:rPr>
          <w:rFonts w:ascii="Calibri" w:hAnsi="Calibri"/>
          <w:b/>
        </w:rPr>
      </w:pPr>
      <w:r>
        <w:rPr>
          <w:rFonts w:ascii="Calibri" w:hAnsi="Calibri"/>
          <w:b/>
        </w:rPr>
      </w:r>
    </w:p>
    <w:p>
      <w:pPr>
        <w:pStyle w:val="PlainText"/>
        <w:jc w:val="center"/>
        <w:rPr>
          <w:rFonts w:eastAsia="MS Mincho"/>
          <w:b/>
          <w:i/>
          <w:i/>
          <w:sz w:val="22"/>
          <w:szCs w:val="22"/>
        </w:rPr>
      </w:pPr>
      <w:r>
        <w:rPr>
          <w:rFonts w:eastAsia="MS Mincho"/>
          <w:b/>
          <w:i/>
          <w:sz w:val="22"/>
          <w:szCs w:val="22"/>
        </w:rPr>
      </w:r>
    </w:p>
    <w:sectPr>
      <w:type w:val="nextPage"/>
      <w:pgSz w:w="11906" w:h="16838"/>
      <w:pgMar w:left="720" w:right="72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Calibri Light">
    <w:charset w:val="00" w:characterSet="windows-1252"/>
    <w:family w:val="roman"/>
    <w:pitch w:val="variable"/>
  </w:font>
  <w:font w:name="Courier New">
    <w:charset w:val="00" w:characterSet="windows-1252"/>
    <w:family w:val="roman"/>
    <w:pitch w:val="variable"/>
  </w:font>
  <w:font w:name="Cambria">
    <w:charset w:val="00" w:characterSet="windows-1252"/>
    <w:family w:val="roman"/>
    <w:pitch w:val="variable"/>
  </w:font>
  <w:font w:name="Liberation Sans">
    <w:altName w:val="Arial"/>
    <w:charset w:val="00" w:characterSet="windows-1252"/>
    <w:family w:val="swiss"/>
    <w:pitch w:val="variable"/>
  </w:font>
  <w:font w:name="Calibri">
    <w:charset w:val="00" w:characterSet="windows-1252"/>
    <w:family w:val="swiss"/>
    <w:pitch w:val="variable"/>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0" w:hanging="0"/>
      </w:pPr>
      <w:rPr>
        <w:smallCaps w:val="false"/>
        <w:caps w:val="false"/>
        <w:dstrike w:val="false"/>
        <w:strike w:val="false"/>
        <w:sz w:val="22"/>
        <w:spacing w:val="0"/>
        <w:i w:val="false"/>
        <w:u w:val="none"/>
        <w:b w:val="false"/>
        <w:szCs w:val="22"/>
        <w:iCs w:val="false"/>
        <w:bCs w:val="false"/>
        <w:w w:val="100"/>
        <w:rFonts w:ascii="Times New Roman" w:hAnsi="Times New Roman" w:eastAsia="Times New Roman" w:cs="Times New Roman"/>
        <w:color w:val="000000"/>
        <w:lang w:val="it-IT"/>
      </w:rPr>
    </w:lvl>
    <w:lvl w:ilvl="1">
      <w:start w:val="0"/>
      <w:numFmt w:val="decimal"/>
      <w:lvlText w:val=""/>
      <w:lvlJc w:val="start"/>
      <w:pPr>
        <w:tabs>
          <w:tab w:val="num" w:pos="0"/>
        </w:tabs>
        <w:ind w:start="0" w:hanging="0"/>
      </w:pPr>
      <w:rPr/>
    </w:lvl>
    <w:lvl w:ilvl="2">
      <w:start w:val="0"/>
      <w:numFmt w:val="decimal"/>
      <w:lvlText w:val=""/>
      <w:lvlJc w:val="start"/>
      <w:pPr>
        <w:tabs>
          <w:tab w:val="num" w:pos="0"/>
        </w:tabs>
        <w:ind w:start="0" w:hanging="0"/>
      </w:pPr>
      <w:rPr/>
    </w:lvl>
    <w:lvl w:ilvl="3">
      <w:start w:val="0"/>
      <w:numFmt w:val="decimal"/>
      <w:lvlText w:val=""/>
      <w:lvlJc w:val="start"/>
      <w:pPr>
        <w:tabs>
          <w:tab w:val="num" w:pos="0"/>
        </w:tabs>
        <w:ind w:start="0" w:hanging="0"/>
      </w:pPr>
      <w:rPr/>
    </w:lvl>
    <w:lvl w:ilvl="4">
      <w:start w:val="0"/>
      <w:numFmt w:val="decimal"/>
      <w:lvlText w:val=""/>
      <w:lvlJc w:val="start"/>
      <w:pPr>
        <w:tabs>
          <w:tab w:val="num" w:pos="0"/>
        </w:tabs>
        <w:ind w:start="0" w:hanging="0"/>
      </w:pPr>
      <w:rPr/>
    </w:lvl>
    <w:lvl w:ilvl="5">
      <w:start w:val="0"/>
      <w:numFmt w:val="decimal"/>
      <w:lvlText w:val=""/>
      <w:lvlJc w:val="start"/>
      <w:pPr>
        <w:tabs>
          <w:tab w:val="num" w:pos="0"/>
        </w:tabs>
        <w:ind w:start="0" w:hanging="0"/>
      </w:pPr>
      <w:rPr/>
    </w:lvl>
    <w:lvl w:ilvl="6">
      <w:start w:val="0"/>
      <w:numFmt w:val="decimal"/>
      <w:lvlText w:val=""/>
      <w:lvlJc w:val="start"/>
      <w:pPr>
        <w:tabs>
          <w:tab w:val="num" w:pos="0"/>
        </w:tabs>
        <w:ind w:start="0" w:hanging="0"/>
      </w:pPr>
      <w:rPr/>
    </w:lvl>
    <w:lvl w:ilvl="7">
      <w:start w:val="0"/>
      <w:numFmt w:val="decimal"/>
      <w:lvlText w:val=""/>
      <w:lvlJc w:val="start"/>
      <w:pPr>
        <w:tabs>
          <w:tab w:val="num" w:pos="0"/>
        </w:tabs>
        <w:ind w:start="0" w:hanging="0"/>
      </w:pPr>
      <w:rPr/>
    </w:lvl>
    <w:lvl w:ilvl="8">
      <w:start w:val="0"/>
      <w:numFmt w:val="decimal"/>
      <w:lvlText w:val=""/>
      <w:lvlJc w:val="start"/>
      <w:pPr>
        <w:tabs>
          <w:tab w:val="num" w:pos="0"/>
        </w:tabs>
        <w:ind w:start="0" w:hanging="0"/>
      </w:pPr>
      <w:rPr/>
    </w:lvl>
  </w:abstractNum>
  <w:abstractNum w:abstractNumId="2">
    <w:lvl w:ilvl="0">
      <w:start w:val="1"/>
      <w:numFmt w:val="bullet"/>
      <w:lvlText w:val="-"/>
      <w:lvlJc w:val="start"/>
      <w:pPr>
        <w:tabs>
          <w:tab w:val="num" w:pos="0"/>
        </w:tabs>
        <w:ind w:start="0" w:hanging="0"/>
      </w:pPr>
      <w:rPr>
        <w:rFonts w:ascii="Times New Roman" w:hAnsi="Times New Roman" w:cs="Times New Roman" w:hint="default"/>
        <w:smallCaps w:val="false"/>
        <w:caps w:val="false"/>
        <w:dstrike w:val="false"/>
        <w:strike w:val="false"/>
        <w:sz w:val="22"/>
        <w:spacing w:val="0"/>
        <w:i w:val="false"/>
        <w:u w:val="none"/>
        <w:b w:val="false"/>
        <w:szCs w:val="22"/>
        <w:iCs w:val="false"/>
        <w:bCs w:val="false"/>
        <w:w w:val="100"/>
        <w:color w:val="000000"/>
        <w:lang w:val="it-IT"/>
      </w:rPr>
    </w:lvl>
    <w:lvl w:ilvl="1">
      <w:start w:val="1"/>
      <w:numFmt w:val="decimal"/>
      <w:lvlText w:val="%2."/>
      <w:lvlJc w:val="start"/>
      <w:pPr>
        <w:tabs>
          <w:tab w:val="num" w:pos="0"/>
        </w:tabs>
        <w:ind w:start="0" w:hanging="0"/>
      </w:pPr>
      <w:rPr>
        <w:smallCaps w:val="false"/>
        <w:caps w:val="false"/>
        <w:dstrike w:val="false"/>
        <w:strike w:val="false"/>
        <w:sz w:val="22"/>
        <w:spacing w:val="0"/>
        <w:i w:val="false"/>
        <w:u w:val="none"/>
        <w:b w:val="false"/>
        <w:szCs w:val="22"/>
        <w:iCs w:val="false"/>
        <w:bCs w:val="false"/>
        <w:w w:val="100"/>
        <w:rFonts w:ascii="Times New Roman" w:hAnsi="Times New Roman" w:eastAsia="Times New Roman" w:cs="Times New Roman"/>
        <w:color w:val="000000"/>
        <w:lang w:val="it-IT"/>
      </w:rPr>
    </w:lvl>
    <w:lvl w:ilvl="2">
      <w:start w:val="1"/>
      <w:numFmt w:val="lowerLetter"/>
      <w:lvlText w:val="%3)"/>
      <w:lvlJc w:val="start"/>
      <w:pPr>
        <w:tabs>
          <w:tab w:val="num" w:pos="0"/>
        </w:tabs>
        <w:ind w:start="0" w:hanging="0"/>
      </w:pPr>
      <w:rPr>
        <w:smallCaps w:val="false"/>
        <w:caps w:val="false"/>
        <w:dstrike w:val="false"/>
        <w:strike w:val="false"/>
        <w:sz w:val="22"/>
        <w:spacing w:val="0"/>
        <w:i w:val="false"/>
        <w:u w:val="none"/>
        <w:b w:val="false"/>
        <w:szCs w:val="22"/>
        <w:iCs w:val="false"/>
        <w:bCs w:val="false"/>
        <w:w w:val="100"/>
        <w:rFonts w:ascii="Times New Roman" w:hAnsi="Times New Roman" w:eastAsia="Times New Roman" w:cs="Times New Roman"/>
        <w:color w:val="000000"/>
        <w:lang w:val="it-IT"/>
      </w:rPr>
    </w:lvl>
    <w:lvl w:ilvl="3">
      <w:start w:val="0"/>
      <w:numFmt w:val="decimal"/>
      <w:lvlText w:val=""/>
      <w:lvlJc w:val="start"/>
      <w:pPr>
        <w:tabs>
          <w:tab w:val="num" w:pos="0"/>
        </w:tabs>
        <w:ind w:start="0" w:hanging="0"/>
      </w:pPr>
      <w:rPr/>
    </w:lvl>
    <w:lvl w:ilvl="4">
      <w:start w:val="0"/>
      <w:numFmt w:val="decimal"/>
      <w:lvlText w:val=""/>
      <w:lvlJc w:val="start"/>
      <w:pPr>
        <w:tabs>
          <w:tab w:val="num" w:pos="0"/>
        </w:tabs>
        <w:ind w:start="0" w:hanging="0"/>
      </w:pPr>
      <w:rPr/>
    </w:lvl>
    <w:lvl w:ilvl="5">
      <w:start w:val="0"/>
      <w:numFmt w:val="decimal"/>
      <w:lvlText w:val=""/>
      <w:lvlJc w:val="start"/>
      <w:pPr>
        <w:tabs>
          <w:tab w:val="num" w:pos="0"/>
        </w:tabs>
        <w:ind w:start="0" w:hanging="0"/>
      </w:pPr>
      <w:rPr/>
    </w:lvl>
    <w:lvl w:ilvl="6">
      <w:start w:val="0"/>
      <w:numFmt w:val="decimal"/>
      <w:lvlText w:val=""/>
      <w:lvlJc w:val="start"/>
      <w:pPr>
        <w:tabs>
          <w:tab w:val="num" w:pos="0"/>
        </w:tabs>
        <w:ind w:start="0" w:hanging="0"/>
      </w:pPr>
      <w:rPr/>
    </w:lvl>
    <w:lvl w:ilvl="7">
      <w:start w:val="0"/>
      <w:numFmt w:val="decimal"/>
      <w:lvlText w:val=""/>
      <w:lvlJc w:val="start"/>
      <w:pPr>
        <w:tabs>
          <w:tab w:val="num" w:pos="0"/>
        </w:tabs>
        <w:ind w:start="0" w:hanging="0"/>
      </w:pPr>
      <w:rPr/>
    </w:lvl>
    <w:lvl w:ilvl="8">
      <w:start w:val="0"/>
      <w:numFmt w:val="decimal"/>
      <w:lvlText w:val=""/>
      <w:lvlJc w:val="start"/>
      <w:pPr>
        <w:tabs>
          <w:tab w:val="num" w:pos="0"/>
        </w:tabs>
        <w:ind w:start="0" w:hanging="0"/>
      </w:pPr>
      <w:rPr/>
    </w:lvl>
  </w:abstractNum>
  <w:abstractNum w:abstractNumId="3">
    <w:lvl w:ilvl="0">
      <w:start w:val="1"/>
      <w:numFmt w:val="bullet"/>
      <w:lvlText w:val="•"/>
      <w:lvlJc w:val="start"/>
      <w:pPr>
        <w:tabs>
          <w:tab w:val="num" w:pos="0"/>
        </w:tabs>
        <w:ind w:start="0" w:hanging="0"/>
      </w:pPr>
      <w:rPr>
        <w:rFonts w:ascii="Times New Roman" w:hAnsi="Times New Roman" w:cs="Times New Roman" w:hint="default"/>
        <w:smallCaps w:val="false"/>
        <w:caps w:val="false"/>
        <w:dstrike w:val="false"/>
        <w:strike w:val="false"/>
        <w:sz w:val="22"/>
        <w:spacing w:val="0"/>
        <w:i w:val="false"/>
        <w:u w:val="none"/>
        <w:b w:val="false"/>
        <w:szCs w:val="22"/>
        <w:iCs w:val="false"/>
        <w:bCs w:val="false"/>
        <w:w w:val="100"/>
        <w:color w:val="000000"/>
        <w:lang w:val="it-IT"/>
      </w:rPr>
    </w:lvl>
    <w:lvl w:ilvl="1">
      <w:start w:val="0"/>
      <w:numFmt w:val="decimal"/>
      <w:lvlText w:val=""/>
      <w:lvlJc w:val="start"/>
      <w:pPr>
        <w:tabs>
          <w:tab w:val="num" w:pos="0"/>
        </w:tabs>
        <w:ind w:start="0" w:hanging="0"/>
      </w:pPr>
      <w:rPr/>
    </w:lvl>
    <w:lvl w:ilvl="2">
      <w:start w:val="0"/>
      <w:numFmt w:val="decimal"/>
      <w:lvlText w:val=""/>
      <w:lvlJc w:val="start"/>
      <w:pPr>
        <w:tabs>
          <w:tab w:val="num" w:pos="0"/>
        </w:tabs>
        <w:ind w:start="0" w:hanging="0"/>
      </w:pPr>
      <w:rPr/>
    </w:lvl>
    <w:lvl w:ilvl="3">
      <w:start w:val="0"/>
      <w:numFmt w:val="decimal"/>
      <w:lvlText w:val=""/>
      <w:lvlJc w:val="start"/>
      <w:pPr>
        <w:tabs>
          <w:tab w:val="num" w:pos="0"/>
        </w:tabs>
        <w:ind w:start="0" w:hanging="0"/>
      </w:pPr>
      <w:rPr/>
    </w:lvl>
    <w:lvl w:ilvl="4">
      <w:start w:val="0"/>
      <w:numFmt w:val="decimal"/>
      <w:lvlText w:val=""/>
      <w:lvlJc w:val="start"/>
      <w:pPr>
        <w:tabs>
          <w:tab w:val="num" w:pos="0"/>
        </w:tabs>
        <w:ind w:start="0" w:hanging="0"/>
      </w:pPr>
      <w:rPr/>
    </w:lvl>
    <w:lvl w:ilvl="5">
      <w:start w:val="0"/>
      <w:numFmt w:val="decimal"/>
      <w:lvlText w:val=""/>
      <w:lvlJc w:val="start"/>
      <w:pPr>
        <w:tabs>
          <w:tab w:val="num" w:pos="0"/>
        </w:tabs>
        <w:ind w:start="0" w:hanging="0"/>
      </w:pPr>
      <w:rPr/>
    </w:lvl>
    <w:lvl w:ilvl="6">
      <w:start w:val="0"/>
      <w:numFmt w:val="decimal"/>
      <w:lvlText w:val=""/>
      <w:lvlJc w:val="start"/>
      <w:pPr>
        <w:tabs>
          <w:tab w:val="num" w:pos="0"/>
        </w:tabs>
        <w:ind w:start="0" w:hanging="0"/>
      </w:pPr>
      <w:rPr/>
    </w:lvl>
    <w:lvl w:ilvl="7">
      <w:start w:val="0"/>
      <w:numFmt w:val="decimal"/>
      <w:lvlText w:val=""/>
      <w:lvlJc w:val="start"/>
      <w:pPr>
        <w:tabs>
          <w:tab w:val="num" w:pos="0"/>
        </w:tabs>
        <w:ind w:start="0" w:hanging="0"/>
      </w:pPr>
      <w:rPr/>
    </w:lvl>
    <w:lvl w:ilvl="8">
      <w:start w:val="0"/>
      <w:numFmt w:val="decimal"/>
      <w:lvlText w:val=""/>
      <w:lvlJc w:val="start"/>
      <w:pPr>
        <w:tabs>
          <w:tab w:val="num" w:pos="0"/>
        </w:tabs>
        <w:ind w:start="0" w:hanging="0"/>
      </w:pPr>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start"/>
    </w:pPr>
    <w:rPr>
      <w:rFonts w:ascii="Calibri" w:hAnsi="Calibri" w:eastAsia="Calibri" w:cs="" w:asciiTheme="minorHAnsi" w:cstheme="minorBidi" w:eastAsiaTheme="minorHAnsi" w:hAnsiTheme="minorHAnsi"/>
      <w:color w:val="auto"/>
      <w:kern w:val="0"/>
      <w:sz w:val="22"/>
      <w:szCs w:val="22"/>
      <w:lang w:val="it-IT" w:eastAsia="en-US" w:bidi="ar-SA"/>
    </w:rPr>
  </w:style>
  <w:style w:type="paragraph" w:styleId="Heading1">
    <w:name w:val="heading 1"/>
    <w:basedOn w:val="Normal"/>
    <w:next w:val="Normal"/>
    <w:link w:val="Titolo1Carattere"/>
    <w:uiPriority w:val="9"/>
    <w:qFormat/>
    <w:rsid w:val="00d933da"/>
    <w:pPr>
      <w:keepNext w:val="true"/>
      <w:keepLines/>
      <w:spacing w:before="240" w:after="0"/>
      <w:outlineLvl w:val="0"/>
    </w:pPr>
    <w:rPr>
      <w:rFonts w:ascii="Calibri Light" w:hAnsi="Calibri Light" w:eastAsia="" w:cs="" w:asciiTheme="majorHAnsi" w:cstheme="majorBidi" w:eastAsiaTheme="majorEastAsia" w:hAnsiTheme="majorHAnsi"/>
      <w:color w:themeColor="accent1" w:themeShade="bf" w:val="2F5496"/>
      <w:sz w:val="32"/>
      <w:szCs w:val="32"/>
    </w:rPr>
  </w:style>
  <w:style w:type="paragraph" w:styleId="Heading2">
    <w:name w:val="heading 2"/>
    <w:basedOn w:val="Normal"/>
    <w:next w:val="Normal"/>
    <w:link w:val="Titolo2Carattere"/>
    <w:uiPriority w:val="9"/>
    <w:semiHidden/>
    <w:unhideWhenUsed/>
    <w:qFormat/>
    <w:rsid w:val="001a3b3c"/>
    <w:pPr>
      <w:keepNext w:val="true"/>
      <w:keepLines/>
      <w:spacing w:before="40" w:after="0"/>
      <w:outlineLvl w:val="1"/>
    </w:pPr>
    <w:rPr>
      <w:rFonts w:ascii="Calibri Light" w:hAnsi="Calibri Light" w:eastAsia="" w:cs="" w:asciiTheme="majorHAnsi" w:cstheme="majorBidi" w:eastAsiaTheme="majorEastAsia" w:hAnsiTheme="majorHAnsi"/>
      <w:color w:themeColor="accent1" w:themeShade="bf" w:val="2F5496"/>
      <w:sz w:val="26"/>
      <w:szCs w:val="26"/>
    </w:rPr>
  </w:style>
  <w:style w:type="paragraph" w:styleId="Heading3">
    <w:name w:val="heading 3"/>
    <w:basedOn w:val="Normal"/>
    <w:next w:val="Normal"/>
    <w:link w:val="Titolo3Carattere"/>
    <w:qFormat/>
    <w:rsid w:val="00da4e2f"/>
    <w:pPr>
      <w:keepNext w:val="true"/>
      <w:spacing w:lineRule="auto" w:line="240" w:before="240" w:after="60"/>
      <w:outlineLvl w:val="2"/>
    </w:pPr>
    <w:rPr>
      <w:rFonts w:ascii="Arial" w:hAnsi="Arial" w:eastAsia="Times New Roman" w:cs="Arial"/>
      <w:b/>
      <w:bCs/>
      <w:sz w:val="26"/>
      <w:szCs w:val="26"/>
      <w:lang w:eastAsia="it-IT"/>
    </w:rPr>
  </w:style>
  <w:style w:type="character" w:styleId="DefaultParagraphFont" w:default="1">
    <w:name w:val="Default Paragraph Font"/>
    <w:uiPriority w:val="1"/>
    <w:semiHidden/>
    <w:unhideWhenUsed/>
    <w:qFormat/>
    <w:rPr/>
  </w:style>
  <w:style w:type="character" w:styleId="Titolo3Carattere" w:customStyle="1">
    <w:name w:val="Titolo 3 Carattere"/>
    <w:basedOn w:val="DefaultParagraphFont"/>
    <w:qFormat/>
    <w:rsid w:val="00da4e2f"/>
    <w:rPr>
      <w:rFonts w:ascii="Arial" w:hAnsi="Arial" w:eastAsia="Times New Roman" w:cs="Arial"/>
      <w:b/>
      <w:bCs/>
      <w:sz w:val="26"/>
      <w:szCs w:val="26"/>
      <w:lang w:eastAsia="it-IT"/>
    </w:rPr>
  </w:style>
  <w:style w:type="character" w:styleId="TestonormaleCarattere" w:customStyle="1">
    <w:name w:val="Testo normale Carattere"/>
    <w:basedOn w:val="DefaultParagraphFont"/>
    <w:link w:val="PlainText"/>
    <w:qFormat/>
    <w:rsid w:val="00da4e2f"/>
    <w:rPr>
      <w:rFonts w:ascii="Courier New" w:hAnsi="Courier New" w:eastAsia="Times New Roman" w:cs="Times New Roman"/>
      <w:sz w:val="20"/>
      <w:szCs w:val="20"/>
      <w:lang w:val="x-none" w:eastAsia="x-none"/>
    </w:rPr>
  </w:style>
  <w:style w:type="character" w:styleId="Titolo2Carattere" w:customStyle="1">
    <w:name w:val="Titolo 2 Carattere"/>
    <w:basedOn w:val="DefaultParagraphFont"/>
    <w:uiPriority w:val="9"/>
    <w:semiHidden/>
    <w:qFormat/>
    <w:rsid w:val="001a3b3c"/>
    <w:rPr>
      <w:rFonts w:ascii="Calibri Light" w:hAnsi="Calibri Light" w:eastAsia="" w:cs="" w:asciiTheme="majorHAnsi" w:cstheme="majorBidi" w:eastAsiaTheme="majorEastAsia" w:hAnsiTheme="majorHAnsi"/>
      <w:color w:themeColor="accent1" w:themeShade="bf" w:val="2F5496"/>
      <w:sz w:val="26"/>
      <w:szCs w:val="26"/>
    </w:rPr>
  </w:style>
  <w:style w:type="character" w:styleId="Hyperlink">
    <w:name w:val="Hyperlink"/>
    <w:rsid w:val="001a3b3c"/>
    <w:rPr>
      <w:color w:val="0000FF"/>
      <w:u w:val="single"/>
    </w:rPr>
  </w:style>
  <w:style w:type="character" w:styleId="Strong">
    <w:name w:val="Strong"/>
    <w:uiPriority w:val="22"/>
    <w:qFormat/>
    <w:rsid w:val="001a3b3c"/>
    <w:rPr>
      <w:b/>
      <w:bCs/>
    </w:rPr>
  </w:style>
  <w:style w:type="character" w:styleId="Titolo1Carattere" w:customStyle="1">
    <w:name w:val="Titolo 1 Carattere"/>
    <w:basedOn w:val="DefaultParagraphFont"/>
    <w:uiPriority w:val="9"/>
    <w:qFormat/>
    <w:rsid w:val="00d933da"/>
    <w:rPr>
      <w:rFonts w:ascii="Calibri Light" w:hAnsi="Calibri Light" w:eastAsia="" w:cs="" w:asciiTheme="majorHAnsi" w:cstheme="majorBidi" w:eastAsiaTheme="majorEastAsia" w:hAnsiTheme="majorHAnsi"/>
      <w:color w:themeColor="accent1" w:themeShade="bf" w:val="2F5496"/>
      <w:sz w:val="32"/>
      <w:szCs w:val="32"/>
    </w:rPr>
  </w:style>
  <w:style w:type="character" w:styleId="CorpotestoCarattere" w:customStyle="1">
    <w:name w:val="Corpo testo Carattere"/>
    <w:basedOn w:val="DefaultParagraphFont"/>
    <w:uiPriority w:val="1"/>
    <w:qFormat/>
    <w:rsid w:val="00a758c3"/>
    <w:rPr>
      <w:rFonts w:ascii="Cambria" w:hAnsi="Cambria" w:eastAsia="Cambria" w:cs="Cambria"/>
      <w:sz w:val="24"/>
      <w:szCs w:val="24"/>
    </w:rPr>
  </w:style>
  <w:style w:type="paragraph" w:styleId="Titolo">
    <w:name w:val="Tito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CorpotestoCarattere"/>
    <w:uiPriority w:val="1"/>
    <w:qFormat/>
    <w:rsid w:val="00a758c3"/>
    <w:pPr>
      <w:widowControl w:val="false"/>
      <w:spacing w:lineRule="auto" w:line="240" w:before="0" w:after="0"/>
      <w:ind w:start="140"/>
      <w:jc w:val="both"/>
    </w:pPr>
    <w:rPr>
      <w:rFonts w:ascii="Cambria" w:hAnsi="Cambria" w:eastAsia="Cambria" w:cs="Cambria"/>
      <w:sz w:val="24"/>
      <w:szCs w:val="24"/>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ListParagraph">
    <w:name w:val="List Paragraph"/>
    <w:basedOn w:val="Normal"/>
    <w:uiPriority w:val="34"/>
    <w:qFormat/>
    <w:rsid w:val="00da4e2f"/>
    <w:pPr>
      <w:spacing w:lineRule="auto" w:line="240" w:before="0" w:after="0"/>
      <w:ind w:start="708"/>
    </w:pPr>
    <w:rPr>
      <w:rFonts w:ascii="Times New Roman" w:hAnsi="Times New Roman" w:eastAsia="Times New Roman" w:cs="Times New Roman"/>
      <w:sz w:val="24"/>
      <w:szCs w:val="24"/>
      <w:lang w:eastAsia="it-IT"/>
    </w:rPr>
  </w:style>
  <w:style w:type="paragraph" w:styleId="western" w:customStyle="1">
    <w:name w:val="western"/>
    <w:basedOn w:val="Normal"/>
    <w:qFormat/>
    <w:rsid w:val="00da4e2f"/>
    <w:pPr>
      <w:spacing w:lineRule="auto" w:line="240" w:beforeAutospacing="1" w:after="0"/>
      <w:jc w:val="both"/>
    </w:pPr>
    <w:rPr>
      <w:rFonts w:ascii="Times New Roman" w:hAnsi="Times New Roman" w:eastAsia="Times New Roman" w:cs="Times New Roman"/>
      <w:sz w:val="24"/>
      <w:szCs w:val="24"/>
      <w:lang w:eastAsia="it-IT"/>
    </w:rPr>
  </w:style>
  <w:style w:type="paragraph" w:styleId="PlainText">
    <w:name w:val="Plain Text"/>
    <w:basedOn w:val="Normal"/>
    <w:link w:val="TestonormaleCarattere"/>
    <w:qFormat/>
    <w:rsid w:val="00da4e2f"/>
    <w:pPr>
      <w:spacing w:lineRule="auto" w:line="240" w:before="0" w:after="0"/>
    </w:pPr>
    <w:rPr>
      <w:rFonts w:ascii="Courier New" w:hAnsi="Courier New" w:eastAsia="Times New Roman" w:cs="Times New Roman"/>
      <w:sz w:val="20"/>
      <w:szCs w:val="20"/>
      <w:lang w:val="x-none" w:eastAsia="x-none"/>
    </w:rPr>
  </w:style>
  <w:style w:type="paragraph" w:styleId="Testonormale1" w:customStyle="1">
    <w:name w:val="Testo normale1"/>
    <w:basedOn w:val="Normal"/>
    <w:qFormat/>
    <w:rsid w:val="001a3b3c"/>
    <w:pPr>
      <w:suppressAutoHyphens w:val="true"/>
      <w:spacing w:lineRule="auto" w:line="240" w:before="0" w:after="0"/>
    </w:pPr>
    <w:rPr>
      <w:rFonts w:ascii="Courier New" w:hAnsi="Courier New" w:eastAsia="Calibri" w:cs="Courier New"/>
      <w:sz w:val="20"/>
      <w:szCs w:val="20"/>
      <w:lang w:eastAsia="ar-SA"/>
    </w:rPr>
  </w:style>
  <w:style w:type="paragraph" w:styleId="Paragrafoelenco1" w:customStyle="1">
    <w:name w:val="Paragrafo elenco1"/>
    <w:basedOn w:val="Normal"/>
    <w:uiPriority w:val="99"/>
    <w:qFormat/>
    <w:rsid w:val="001a3b3c"/>
    <w:pPr>
      <w:spacing w:lineRule="auto" w:line="240" w:before="0" w:after="0"/>
      <w:ind w:start="720"/>
    </w:pPr>
    <w:rPr>
      <w:rFonts w:ascii="Times New Roman" w:hAnsi="Times New Roman" w:eastAsia="Times New Roman" w:cs="Times New Roman"/>
      <w:sz w:val="24"/>
      <w:szCs w:val="24"/>
      <w:lang w:eastAsia="it-IT"/>
    </w:rPr>
  </w:style>
  <w:style w:type="paragraph" w:styleId="NormalWeb">
    <w:name w:val="Normal (Web)"/>
    <w:basedOn w:val="Normal"/>
    <w:uiPriority w:val="99"/>
    <w:unhideWhenUsed/>
    <w:qFormat/>
    <w:rsid w:val="001a3b3c"/>
    <w:pPr>
      <w:spacing w:lineRule="auto" w:line="240" w:beforeAutospacing="1" w:afterAutospacing="1"/>
    </w:pPr>
    <w:rPr>
      <w:rFonts w:ascii="Times New Roman" w:hAnsi="Times New Roman" w:eastAsia="Times New Roman" w:cs="Times New Roman"/>
      <w:sz w:val="24"/>
      <w:szCs w:val="24"/>
      <w:lang w:eastAsia="it-IT"/>
    </w:rPr>
  </w:style>
  <w:style w:type="paragraph" w:styleId="Contenutocornice">
    <w:name w:val="Contenuto cornice"/>
    <w:basedOn w:val="Normal"/>
    <w:qFormat/>
    <w:pPr/>
    <w:rPr/>
  </w:style>
  <w:style w:type="numbering" w:styleId="Nessunelenco" w:default="1">
    <w:name w:val="Nessun elenco"/>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styleId="Grigliatabella">
    <w:name w:val="Table Grid"/>
    <w:basedOn w:val="Tabellanormale"/>
    <w:uiPriority w:val="39"/>
    <w:rsid w:val="00c96a8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hyperlink" Target="mailto:info@pec.comune.gualtieri.me.it" TargetMode="External"/><Relationship Id="rId8" Type="http://schemas.openxmlformats.org/officeDocument/2006/relationships/hyperlink" Target="mailto:info@pec.comune.gualtieri.me.it" TargetMode="External"/><Relationship Id="rId9" Type="http://schemas.openxmlformats.org/officeDocument/2006/relationships/hyperlink" Target="https://comune.gualtieri.me.it/" TargetMode="Externa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14</TotalTime>
  <Application>LibreOffice/25.8.1.1$Windows_X86_64 LibreOffice_project/54047653041915e595ad4e45cccea684809c77b5</Application>
  <AppVersion>15.0000</AppVersion>
  <Pages>2</Pages>
  <Words>1766</Words>
  <Characters>9872</Characters>
  <CharactersWithSpaces>11579</CharactersWithSpaces>
  <Paragraphs>82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2026-02-06T09:20:00Z</dcterms:created>
  <dc:creator>HP</dc:creator>
  <dc:description/>
  <dc:language>it-IT</dc:language>
  <cp:lastModifiedBy>Utente000006</cp:lastModifiedBy>
  <cp:lastPrinted>2026-02-06T09:21:00Z</cp:lastPrinted>
  <dcterms:modified xsi:type="dcterms:W3CDTF">2026-02-06T09:35:00Z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